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hanging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mc:AlternateContent>
          <mc:Choice Requires="wps">
            <w:drawing>
              <wp:anchor behindDoc="0" distT="38100" distB="38100" distL="0" distR="0" simplePos="0" locked="0" layoutInCell="1" allowOverlap="1" relativeHeight="3" wp14:anchorId="19F172CB">
                <wp:simplePos x="0" y="0"/>
                <wp:positionH relativeFrom="column">
                  <wp:posOffset>5936615</wp:posOffset>
                </wp:positionH>
                <wp:positionV relativeFrom="paragraph">
                  <wp:posOffset>-384175</wp:posOffset>
                </wp:positionV>
                <wp:extent cx="431800" cy="635"/>
                <wp:effectExtent l="0" t="38100" r="0" b="38100"/>
                <wp:wrapNone/>
                <wp:docPr id="1" name="Lin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7.45pt,-30.25pt" to="501.4pt,-30.25pt" ID="Line 12" stroked="t" o:allowincell="f" style="position:absolute" wp14:anchorId="19F172CB">
                <v:stroke color="black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uppressAutoHyphens w:val="true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514985" cy="647700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ind w:hanging="0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СОВЕТ ДЕПУТАТОВ МУНИЦИПАЛЬНОГО ОБРАЗОВАНИЯ «БУГУРУСЛАНСКИЙ РАЙОН» ОРЕНБУРГСКОЙ ОБЛАСТИ</w:t>
      </w:r>
    </w:p>
    <w:p>
      <w:pPr>
        <w:pStyle w:val="Normal"/>
        <w:suppressAutoHyphens w:val="true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suppressAutoHyphens w:val="true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g">
            <w:drawing>
              <wp:anchor behindDoc="0" distT="5715" distB="11430" distL="12065" distR="11430" simplePos="0" locked="0" layoutInCell="1" allowOverlap="1" relativeHeight="4" wp14:anchorId="0187617F">
                <wp:simplePos x="0" y="0"/>
                <wp:positionH relativeFrom="column">
                  <wp:posOffset>390525</wp:posOffset>
                </wp:positionH>
                <wp:positionV relativeFrom="paragraph">
                  <wp:posOffset>82550</wp:posOffset>
                </wp:positionV>
                <wp:extent cx="5746115" cy="45720"/>
                <wp:effectExtent l="12065" t="5715" r="11430" b="11430"/>
                <wp:wrapNone/>
                <wp:docPr id="3" name="Группа 15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960" cy="45720"/>
                          <a:chOff x="0" y="0"/>
                          <a:chExt cx="5745960" cy="45720"/>
                        </a:xfrm>
                      </wpg:grpSpPr>
                      <wps:wsp>
                        <wps:cNvPr id="4" name=""/>
                        <wps:cNvSpPr/>
                        <wps:spPr>
                          <a:xfrm>
                            <a:off x="0" y="0"/>
                            <a:ext cx="5715000" cy="7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"/>
                        <wps:cNvSpPr/>
                        <wps:spPr>
                          <a:xfrm>
                            <a:off x="0" y="45000"/>
                            <a:ext cx="5745960" cy="72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50" style="position:absolute;margin-left:30.75pt;margin-top:6.5pt;width:452.45pt;height:3.6pt" coordorigin="615,130" coordsize="9049,72">
                <v:shapetype id="_x0000_t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path="m0,0l-2147483648,-2147483647e" stroked="t" o:allowincell="f" style="position:absolute;left:615;top:130;width:8999;height:0;mso-wrap-style:none;v-text-anchor:middle" type="_x0000_t32">
                  <v:fill o:detectmouseclick="t" on="false"/>
                  <v:stroke color="black" weight="9360" joinstyle="round" endcap="flat"/>
                  <w10:wrap type="none"/>
                </v:shape>
                <v:shape id="shape_0" path="m0,0l-2147483648,-2147483647e" stroked="t" o:allowincell="f" style="position:absolute;left:615;top:201;width:9048;height:0;mso-wrap-style:none;v-text-anchor:middle" type="_x0000_t32">
                  <v:fill o:detectmouseclick="t" on="false"/>
                  <v:stroke color="black" weight="22320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Normal"/>
        <w:suppressAutoHyphens w:val="true"/>
        <w:ind w:firstLine="708" w:left="-180"/>
        <w:rPr>
          <w:rFonts w:ascii="Times New Roman" w:hAnsi="Times New Roman" w:cs="Times New Roman"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-64135</wp:posOffset>
            </wp:positionH>
            <wp:positionV relativeFrom="paragraph">
              <wp:posOffset>88900</wp:posOffset>
            </wp:positionV>
            <wp:extent cx="2924175" cy="360045"/>
            <wp:effectExtent l="0" t="0" r="0" b="0"/>
            <wp:wrapNone/>
            <wp:docPr id="6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«Об исполнении бюджета муниципального образования Бугурусланский район Оренбургской области за 2025 год»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Бюджетным кодексом Российской Федерации, Федеральным Законом № 131-ФЗ от 06.10.2003 «Об общих принципах организации местного самоуправления в Российской Федерации», Федеральным Законом № 103-ФЗ от 01.04.2020 «О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году», статьей 12 Устава муниципального образования «Бугурусланский район», решением Совета депутатов муниципального образования «Бугурусланский район» № 160 от 28.03.2013 «Об утверждении положения о публичных слушаниях» (в ред. решения Совета депутатов № 229 от 27.08.2020, в ред. решения Совета депутатов № 85 от 30.06.2022):</w:t>
      </w:r>
    </w:p>
    <w:p>
      <w:pPr>
        <w:pStyle w:val="Normal"/>
        <w:spacing w:lineRule="atLeast" w:line="283"/>
        <w:ind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Вынести на публичные слушания проект решения «Об исполнении бюджета муниципального образования Бугурусланский район Оренбургской области за 2025 год» с использованием федеральной государственной информационной системы «Единый портал государственных и муниципальных услуг (функций)». </w:t>
      </w:r>
    </w:p>
    <w:p>
      <w:pPr>
        <w:pStyle w:val="Normal"/>
        <w:spacing w:lineRule="atLeast" w:line="283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Организационному отделу администрации Бугурусланского района (Никифоровой Л.Е.)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роект решения Совета депутатов муниципального образования «Бугурусланский район» «Об исполнении бюджета муниципального образования Бугурусланский район Оренбургской области за 2025 год» разместить до 16.04.2026 в ПОС ЕПГУ на официальном сайте муниципального образования «Бугурусланский район» </w:t>
      </w:r>
      <w:hyperlink r:id="rId4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bugr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orb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в разделе «Публичные слушания» и информационных стендах сельсоветов Бугурусланского района.</w:t>
      </w:r>
    </w:p>
    <w:p>
      <w:pPr>
        <w:pStyle w:val="Normal"/>
        <w:spacing w:lineRule="auto" w:line="240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Определить сроки проведения публичных слушаний с 27.04.2026 по        06.05.2026.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4. Предложения и замечания граждан по проекту решения «Об исполнении бюджета муниципального образования Бугурусланский район Оренбургской области за 2025 год» направляются в личный кабинет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 «Бугурусланский район».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Подготовку и проведение публичных слушаний по проекту решения «Об исполнении бюджета муниципального образования Бугурусланский район Оренбургской области за 2025 год» поручить финансовому отделу администрации района и организационному отделу администрации Бугурусланского района.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Настоящее распоряжение вступает в силу после его официального опубликования (обнародования)</w:t>
      </w:r>
      <w:r>
        <w:rPr/>
        <w:t>.</w:t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</w:t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Председатель Совета депутатов                                               В.Н. Ледяев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3336925</wp:posOffset>
            </wp:positionH>
            <wp:positionV relativeFrom="paragraph">
              <wp:posOffset>2540</wp:posOffset>
            </wp:positionV>
            <wp:extent cx="2877185" cy="1080135"/>
            <wp:effectExtent l="0" t="0" r="0" b="0"/>
            <wp:wrapNone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769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c769e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bugr.orb.ru/" TargetMode="External"/><Relationship Id="rId5" Type="http://schemas.openxmlformats.org/officeDocument/2006/relationships/image" Target="media/image3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LibreOffice/7.6.1.2$Windows_X86_64 LibreOffice_project/f5defcebd022c5bc36bbb79be232cb6926d8f674</Application>
  <AppVersion>15.0000</AppVersion>
  <Pages>2</Pages>
  <Words>292</Words>
  <Characters>2224</Characters>
  <CharactersWithSpaces>2675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2021-11-29T04:20:00Z</dcterms:created>
  <dc:creator>Специалист</dc:creator>
  <dc:description/>
  <dc:language>ru-RU</dc:language>
  <cp:lastModifiedBy/>
  <dcterms:modified xsi:type="dcterms:W3CDTF">2026-04-13T09:00:21Z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