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spacing w:val="20"/>
          <w:lang w:val="en-US"/>
        </w:rPr>
      </w:pPr>
      <w:r>
        <w:rPr/>
        <w:drawing>
          <wp:inline distT="0" distB="0" distL="0" distR="0">
            <wp:extent cx="514350" cy="647700"/>
            <wp:effectExtent l="0" t="0" r="0" b="0"/>
            <wp:docPr id="1" name="Рисунок 1" descr="Бугурусланский р-н- герб (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Бугурусланский р-н- герб (вариант 2)"/>
                    <pic:cNvPicPr>
                      <a:picLocks noChangeAspect="1" noChangeArrowheads="1"/>
                    </pic:cNvPicPr>
                  </pic:nvPicPr>
                  <pic:blipFill>
                    <a:blip r:embed="rId2"/>
                    <a:stretch>
                      <a:fillRect/>
                    </a:stretch>
                  </pic:blipFill>
                  <pic:spPr bwMode="auto">
                    <a:xfrm>
                      <a:off x="0" y="0"/>
                      <a:ext cx="514350" cy="647700"/>
                    </a:xfrm>
                    <a:prstGeom prst="rect">
                      <a:avLst/>
                    </a:prstGeom>
                  </pic:spPr>
                </pic:pic>
              </a:graphicData>
            </a:graphic>
          </wp:inline>
        </w:drawing>
      </w:r>
    </w:p>
    <w:p>
      <w:pPr>
        <w:pStyle w:val="Normal"/>
        <w:widowControl/>
        <w:numPr>
          <w:ilvl w:val="0"/>
          <w:numId w:val="0"/>
        </w:numPr>
        <w:ind w:hanging="0" w:left="0"/>
        <w:jc w:val="center"/>
        <w:outlineLvl w:val="0"/>
        <w:rPr>
          <w:rFonts w:ascii="Times New Roman" w:hAnsi="Times New Roman" w:cs="Times New Roman"/>
          <w:b/>
          <w:caps/>
          <w:spacing w:val="20"/>
          <w:sz w:val="28"/>
          <w:szCs w:val="28"/>
        </w:rPr>
      </w:pPr>
      <w:r>
        <w:rPr>
          <w:rFonts w:cs="Times New Roman" w:ascii="Times New Roman" w:hAnsi="Times New Roman"/>
          <w:b/>
          <w:caps/>
          <w:spacing w:val="20"/>
          <w:sz w:val="28"/>
          <w:szCs w:val="28"/>
        </w:rPr>
        <w:t>администрация БУГУРУСЛАНСКого РАЙОНа оренбургской области</w:t>
      </w:r>
    </w:p>
    <w:p>
      <w:pPr>
        <w:pStyle w:val="Normal"/>
        <w:widowControl/>
        <w:numPr>
          <w:ilvl w:val="0"/>
          <w:numId w:val="0"/>
        </w:numPr>
        <w:ind w:hanging="0" w:left="0"/>
        <w:jc w:val="center"/>
        <w:outlineLvl w:val="0"/>
        <w:rPr>
          <w:rFonts w:ascii="Times New Roman" w:hAnsi="Times New Roman" w:cs="Times New Roman"/>
          <w:b/>
          <w:caps/>
          <w:spacing w:val="20"/>
          <w:sz w:val="28"/>
          <w:szCs w:val="28"/>
        </w:rPr>
      </w:pPr>
      <w:r>
        <w:rPr>
          <w:rFonts w:cs="Times New Roman" w:ascii="Times New Roman" w:hAnsi="Times New Roman"/>
          <w:b/>
          <w:caps/>
          <w:spacing w:val="20"/>
          <w:sz w:val="28"/>
          <w:szCs w:val="28"/>
        </w:rPr>
      </w:r>
    </w:p>
    <w:p>
      <w:pPr>
        <w:pStyle w:val="Normal"/>
        <w:widowControl/>
        <w:numPr>
          <w:ilvl w:val="0"/>
          <w:numId w:val="0"/>
        </w:numPr>
        <w:ind w:hanging="0" w:left="0"/>
        <w:jc w:val="center"/>
        <w:outlineLvl w:val="0"/>
        <w:rPr>
          <w:rFonts w:ascii="Times New Roman" w:hAnsi="Times New Roman" w:cs="Times New Roman"/>
          <w:b/>
          <w:caps/>
          <w:spacing w:val="20"/>
          <w:sz w:val="28"/>
          <w:szCs w:val="28"/>
        </w:rPr>
      </w:pPr>
      <w:r>
        <w:rPr>
          <w:rFonts w:cs="Times New Roman" w:ascii="Times New Roman" w:hAnsi="Times New Roman"/>
          <w:b/>
          <w:caps/>
          <w:spacing w:val="20"/>
          <w:sz w:val="28"/>
          <w:szCs w:val="28"/>
        </w:rPr>
        <w:t>ПОСТАНОВЛЕНИЕ</w:t>
      </w:r>
    </w:p>
    <w:p>
      <w:pPr>
        <w:pStyle w:val="Normal"/>
        <w:widowControl/>
        <w:rPr>
          <w:sz w:val="28"/>
          <w:szCs w:val="28"/>
        </w:rPr>
      </w:pPr>
      <w:r>
        <w:rPr>
          <w:rFonts w:cs="Times New Roman" w:ascii="Times New Roman" w:hAnsi="Times New Roman"/>
          <w:b/>
          <w:bCs/>
          <w:sz w:val="28"/>
          <w:szCs w:val="28"/>
        </w:rPr>
        <w:t>__________________________________________________________________</w:t>
      </w:r>
    </w:p>
    <w:p>
      <w:pPr>
        <w:pStyle w:val="Normal"/>
        <w:tabs>
          <w:tab w:val="clear" w:pos="709"/>
          <w:tab w:val="left" w:pos="142" w:leader="none"/>
        </w:tabs>
        <w:rPr>
          <w:rFonts w:ascii="Tahoma" w:hAnsi="Tahoma" w:cs="Tahoma"/>
          <w:sz w:val="16"/>
          <w:szCs w:val="16"/>
        </w:rPr>
      </w:pPr>
      <w:r>
        <w:rPr>
          <w:rFonts w:cs="Tahoma" w:ascii="Tahoma" w:hAnsi="Tahoma"/>
          <w:sz w:val="16"/>
          <w:szCs w:val="16"/>
        </w:rPr>
      </w:r>
      <w:bookmarkStart w:id="0" w:name="__UnoMark__1271_2124323953"/>
      <w:bookmarkStart w:id="1" w:name="__UnoMark__1271_2124323953"/>
      <w:bookmarkEnd w:id="1"/>
    </w:p>
    <w:p>
      <w:pPr>
        <w:pStyle w:val="Normal"/>
        <w:tabs>
          <w:tab w:val="clear" w:pos="709"/>
          <w:tab w:val="left" w:pos="142" w:leader="none"/>
        </w:tabs>
        <w:rPr>
          <w:rFonts w:ascii="Tahoma" w:hAnsi="Tahoma" w:cs="Tahoma"/>
          <w:sz w:val="16"/>
          <w:szCs w:val="16"/>
        </w:rPr>
      </w:pPr>
      <w:r>
        <w:rPr/>
        <w:drawing>
          <wp:inline distT="0" distB="0" distL="0" distR="0">
            <wp:extent cx="2915920" cy="21590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2915920" cy="215900"/>
                    </a:xfrm>
                    <a:prstGeom prst="rect">
                      <a:avLst/>
                    </a:prstGeom>
                  </pic:spPr>
                </pic:pic>
              </a:graphicData>
            </a:graphic>
          </wp:inline>
        </w:drawing>
      </w:r>
    </w:p>
    <w:p>
      <w:pPr>
        <w:pStyle w:val="Normal"/>
        <w:rPr>
          <w:b/>
          <w:sz w:val="28"/>
          <w:szCs w:val="28"/>
        </w:rPr>
      </w:pPr>
      <w:r>
        <w:rPr>
          <w:b/>
          <w:sz w:val="28"/>
          <w:szCs w:val="28"/>
        </w:rPr>
      </w:r>
    </w:p>
    <w:p>
      <w:pPr>
        <w:pStyle w:val="Normal"/>
        <w:tabs>
          <w:tab w:val="clear" w:pos="709"/>
          <w:tab w:val="left" w:pos="142" w:leader="none"/>
        </w:tabs>
        <w:rPr>
          <w:rFonts w:ascii="Tahoma" w:hAnsi="Tahoma" w:cs="Tahoma"/>
          <w:sz w:val="16"/>
          <w:szCs w:val="16"/>
        </w:rPr>
      </w:pPr>
      <w:r>
        <w:rPr>
          <w:rFonts w:cs="Tahoma" w:ascii="Tahoma" w:hAnsi="Tahoma"/>
          <w:sz w:val="16"/>
          <w:szCs w:val="16"/>
        </w:rPr>
        <w:t xml:space="preserve">      </w:t>
      </w:r>
    </w:p>
    <w:p>
      <w:pPr>
        <w:pStyle w:val="BlockQuotation"/>
        <w:widowControl/>
        <w:tabs>
          <w:tab w:val="clear" w:pos="709"/>
          <w:tab w:val="left" w:pos="-426" w:leader="none"/>
        </w:tabs>
        <w:ind w:hanging="0" w:left="0" w:right="-58"/>
        <w:jc w:val="center"/>
        <w:rPr/>
      </w:pPr>
      <w:r>
        <w:rPr/>
      </w:r>
    </w:p>
    <w:p>
      <w:pPr>
        <w:pStyle w:val="BlockQuotation"/>
        <w:widowControl/>
        <w:tabs>
          <w:tab w:val="clear" w:pos="709"/>
          <w:tab w:val="left" w:pos="-426" w:leader="none"/>
        </w:tabs>
        <w:ind w:hanging="0" w:left="0" w:right="-58"/>
        <w:jc w:val="center"/>
        <w:rPr/>
      </w:pPr>
      <w:r>
        <w:rPr/>
      </w:r>
    </w:p>
    <w:p>
      <w:pPr>
        <w:pStyle w:val="Normal"/>
        <w:spacing w:lineRule="exact" w:line="326"/>
        <w:jc w:val="center"/>
        <w:rPr>
          <w:rFonts w:ascii="Times New Roman" w:hAnsi="Times New Roman" w:cs="Times New Roman"/>
          <w:sz w:val="28"/>
          <w:szCs w:val="28"/>
        </w:rPr>
      </w:pPr>
      <w:r>
        <w:rPr>
          <w:rFonts w:cs="Times New Roman" w:ascii="Times New Roman" w:hAnsi="Times New Roman"/>
          <w:sz w:val="28"/>
          <w:szCs w:val="28"/>
        </w:rPr>
        <w:t xml:space="preserve">О внесении изменений в постановление администрации </w:t>
      </w:r>
    </w:p>
    <w:p>
      <w:pPr>
        <w:pStyle w:val="Normal"/>
        <w:spacing w:lineRule="exact" w:line="326"/>
        <w:jc w:val="center"/>
        <w:rPr>
          <w:rFonts w:ascii="Times New Roman" w:hAnsi="Times New Roman" w:cs="Times New Roman"/>
          <w:sz w:val="28"/>
          <w:szCs w:val="28"/>
        </w:rPr>
      </w:pPr>
      <w:r>
        <w:rPr>
          <w:rFonts w:cs="Times New Roman" w:ascii="Times New Roman" w:hAnsi="Times New Roman"/>
          <w:sz w:val="28"/>
          <w:szCs w:val="28"/>
        </w:rPr>
        <w:t>Бугурусланского района от 08.10.2015 № 454-п «Об утверждении положения об оплате труда работников муниципальных учреждений администрации Бугурусланского района»</w:t>
      </w:r>
    </w:p>
    <w:p>
      <w:pPr>
        <w:pStyle w:val="Normal"/>
        <w:widowControl/>
        <w:tabs>
          <w:tab w:val="clear" w:pos="709"/>
          <w:tab w:val="left" w:pos="1276" w:leader="none"/>
          <w:tab w:val="left" w:pos="1418" w:leader="none"/>
        </w:tabs>
        <w:ind w:hanging="0" w:left="993" w:right="1275"/>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9"/>
          <w:tab w:val="left" w:pos="1276" w:leader="none"/>
          <w:tab w:val="left" w:pos="1418" w:leader="none"/>
        </w:tabs>
        <w:ind w:hanging="0" w:left="993" w:right="1275"/>
        <w:jc w:val="both"/>
        <w:rPr>
          <w:rFonts w:ascii="Times New Roman" w:hAnsi="Times New Roman" w:eastAsia="Calibri" w:cs="Times New Roman"/>
          <w:sz w:val="22"/>
          <w:szCs w:val="22"/>
          <w:lang w:eastAsia="en-US"/>
        </w:rPr>
      </w:pPr>
      <w:r>
        <w:rPr>
          <w:rFonts w:eastAsia="Calibri" w:cs="Times New Roman" w:ascii="Times New Roman" w:hAnsi="Times New Roman"/>
          <w:sz w:val="22"/>
          <w:szCs w:val="22"/>
          <w:lang w:eastAsia="en-US"/>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 Внести в постановление администрации Бугурусланского района от 08.10.2015 № 454-п «Об утверждении положения об оплате труда работников муниципальных учреждений администрации Бугурусланского района» (в редакции постановлений от 12.12.2017 № 782-п, от 27.09.2019 № 479-п, </w:t>
      </w:r>
    </w:p>
    <w:p>
      <w:pPr>
        <w:pStyle w:val="Normal"/>
        <w:jc w:val="both"/>
        <w:rPr>
          <w:rFonts w:ascii="Times New Roman" w:hAnsi="Times New Roman" w:cs="Times New Roman"/>
          <w:sz w:val="28"/>
          <w:szCs w:val="28"/>
        </w:rPr>
      </w:pPr>
      <w:r>
        <w:rPr>
          <w:rFonts w:cs="Times New Roman" w:ascii="Times New Roman" w:hAnsi="Times New Roman"/>
          <w:sz w:val="28"/>
          <w:szCs w:val="28"/>
        </w:rPr>
        <w:t>от 20.10.2020 №967-п, от 29.09.2022 № 691-п, 27.09.2023 №659-п) следующее изменение:</w:t>
      </w:r>
    </w:p>
    <w:p>
      <w:pPr>
        <w:pStyle w:val="Normal"/>
        <w:widowControl/>
        <w:ind w:firstLine="709"/>
        <w:jc w:val="both"/>
        <w:rPr>
          <w:rFonts w:ascii="Times New Roman" w:hAnsi="Times New Roman" w:eastAsia="Calibri" w:cs="Times New Roman"/>
          <w:bCs/>
          <w:sz w:val="28"/>
          <w:szCs w:val="28"/>
          <w:lang w:eastAsia="en-US"/>
        </w:rPr>
      </w:pPr>
      <w:r>
        <w:rPr>
          <w:rFonts w:eastAsia="Calibri" w:cs="Times New Roman" w:ascii="Times New Roman" w:hAnsi="Times New Roman"/>
          <w:bCs/>
          <w:sz w:val="28"/>
          <w:szCs w:val="28"/>
          <w:lang w:eastAsia="en-US"/>
        </w:rPr>
        <w:t>1.1. Приложение № 1 к постановлению изложить в новой редакции согласно приложению к настоящему постановлению.</w:t>
      </w:r>
    </w:p>
    <w:p>
      <w:pPr>
        <w:pStyle w:val="Normal"/>
        <w:tabs>
          <w:tab w:val="clear" w:pos="709"/>
          <w:tab w:val="left" w:pos="1009" w:leader="none"/>
        </w:tabs>
        <w:ind w:hanging="0" w:right="20"/>
        <w:jc w:val="both"/>
        <w:rPr>
          <w:rFonts w:ascii="Times New Roman" w:hAnsi="Times New Roman" w:cs="Times New Roman"/>
          <w:color w:val="000000"/>
          <w:sz w:val="28"/>
          <w:szCs w:val="28"/>
        </w:rPr>
      </w:pPr>
      <w:r>
        <w:rPr>
          <w:rFonts w:eastAsia="Calibri" w:cs="Times New Roman" w:ascii="Times New Roman" w:hAnsi="Times New Roman"/>
          <w:bCs/>
          <w:sz w:val="28"/>
          <w:szCs w:val="28"/>
          <w:lang w:eastAsia="en-US"/>
        </w:rPr>
        <w:t xml:space="preserve">          </w:t>
      </w:r>
      <w:r>
        <w:rPr>
          <w:rFonts w:eastAsia="Calibri" w:cs="Times New Roman" w:ascii="Times New Roman" w:hAnsi="Times New Roman"/>
          <w:bCs/>
          <w:sz w:val="28"/>
          <w:szCs w:val="28"/>
          <w:lang w:eastAsia="en-US"/>
        </w:rPr>
        <w:t xml:space="preserve">2. </w:t>
      </w:r>
      <w:bookmarkStart w:id="2" w:name="_Hlk150956394"/>
      <w:r>
        <w:rPr>
          <w:rFonts w:cs="Times New Roman" w:ascii="Times New Roman" w:hAnsi="Times New Roman"/>
          <w:color w:val="000000"/>
          <w:sz w:val="28"/>
          <w:szCs w:val="28"/>
        </w:rPr>
        <w:t>Рекомендовать органам местного самоуправления муниципальных образований сельских поселений Бугурусланского района принять аналогичные муниципальные правовые акты о внесении изменений в положения об оплате труда общеотраслевых профессий специалистов, служащих и рабочих органов  местного самоуправления  сельских  поселений.</w:t>
      </w:r>
      <w:bookmarkEnd w:id="2"/>
    </w:p>
    <w:p>
      <w:pPr>
        <w:pStyle w:val="Normal"/>
        <w:tabs>
          <w:tab w:val="clear" w:pos="709"/>
          <w:tab w:val="left" w:pos="1009" w:leader="none"/>
        </w:tabs>
        <w:ind w:firstLine="709" w:right="20"/>
        <w:jc w:val="both"/>
        <w:rPr>
          <w:rFonts w:ascii="Times New Roman" w:hAnsi="Times New Roman" w:cs="Times New Roman"/>
          <w:sz w:val="28"/>
          <w:szCs w:val="28"/>
        </w:rPr>
      </w:pPr>
      <w:r>
        <w:rPr>
          <w:rFonts w:cs="Times New Roman" w:ascii="Times New Roman" w:hAnsi="Times New Roman"/>
          <w:color w:val="000000"/>
          <w:sz w:val="28"/>
          <w:szCs w:val="28"/>
        </w:rPr>
        <w:t xml:space="preserve">3.  Контроль за исполнением настоящего постановления возложить на заведующего финансовым отделом Лепскую Н.Е. </w:t>
      </w:r>
    </w:p>
    <w:p>
      <w:pPr>
        <w:pStyle w:val="Normal"/>
        <w:widowControl/>
        <w:ind w:firstLine="709"/>
        <w:jc w:val="both"/>
        <w:rPr>
          <w:rFonts w:ascii="Times New Roman" w:hAnsi="Times New Roman" w:eastAsia="Calibri" w:cs="Times New Roman"/>
          <w:bCs/>
          <w:sz w:val="28"/>
          <w:szCs w:val="28"/>
          <w:lang w:eastAsia="en-US"/>
        </w:rPr>
      </w:pPr>
      <w:r>
        <w:rPr>
          <w:rFonts w:eastAsia="Calibri" w:cs="Times New Roman" w:ascii="Times New Roman" w:hAnsi="Times New Roman"/>
          <w:bCs/>
          <w:sz w:val="28"/>
          <w:szCs w:val="28"/>
          <w:lang w:eastAsia="en-US"/>
        </w:rPr>
        <w:t>4. Постановление вступает в силу после официального опубликования (обнародования) и распространяется на правоотношения, возникшие с 1 января 2024года.</w:t>
      </w:r>
    </w:p>
    <w:p>
      <w:pPr>
        <w:pStyle w:val="Normal"/>
        <w:widowControl/>
        <w:jc w:val="both"/>
        <w:rPr>
          <w:rFonts w:ascii="Times New Roman" w:hAnsi="Times New Roman" w:eastAsia="Calibri" w:cs="Times New Roman"/>
          <w:bCs/>
          <w:sz w:val="28"/>
          <w:szCs w:val="28"/>
          <w:lang w:eastAsia="en-US"/>
        </w:rPr>
      </w:pPr>
      <w:r>
        <w:rPr>
          <w:rFonts w:eastAsia="Calibri" w:cs="Times New Roman" w:ascii="Times New Roman" w:hAnsi="Times New Roman"/>
          <w:bCs/>
          <w:sz w:val="28"/>
          <w:szCs w:val="28"/>
          <w:lang w:eastAsia="en-US"/>
        </w:rPr>
      </w:r>
    </w:p>
    <w:p>
      <w:pPr>
        <w:pStyle w:val="Normal"/>
        <w:widowControl/>
        <w:jc w:val="both"/>
        <w:rPr>
          <w:rFonts w:ascii="Times New Roman" w:hAnsi="Times New Roman" w:cs="Times New Roman"/>
          <w:sz w:val="28"/>
          <w:szCs w:val="28"/>
        </w:rPr>
      </w:pPr>
      <w:r>
        <w:rPr>
          <w:rFonts w:cs="Times New Roman" w:ascii="Times New Roman" w:hAnsi="Times New Roman"/>
          <w:sz w:val="28"/>
          <w:szCs w:val="28"/>
        </w:rPr>
        <w:t>Глава муниципального образования                                                    А.И. Полькин</w:t>
      </w:r>
    </w:p>
    <w:p>
      <w:pPr>
        <w:pStyle w:val="Normal"/>
        <w:widowControl/>
        <w:jc w:val="center"/>
        <w:rPr>
          <w:rFonts w:ascii="Times New Roman" w:hAnsi="Times New Roman" w:cs="Times New Roman"/>
          <w:sz w:val="28"/>
          <w:szCs w:val="28"/>
        </w:rPr>
      </w:pPr>
      <w:r>
        <w:rPr/>
        <w:drawing>
          <wp:inline distT="0" distB="0" distL="0" distR="0">
            <wp:extent cx="2988310" cy="119253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4"/>
                    <a:stretch>
                      <a:fillRect/>
                    </a:stretch>
                  </pic:blipFill>
                  <pic:spPr bwMode="auto">
                    <a:xfrm>
                      <a:off x="0" y="0"/>
                      <a:ext cx="2988310" cy="1192530"/>
                    </a:xfrm>
                    <a:prstGeom prst="rect">
                      <a:avLst/>
                    </a:prstGeom>
                  </pic:spPr>
                </pic:pic>
              </a:graphicData>
            </a:graphic>
          </wp:inline>
        </w:drawing>
      </w:r>
    </w:p>
    <w:p>
      <w:pPr>
        <w:pStyle w:val="Normal"/>
        <w:ind w:firstLine="180" w:left="-180"/>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180" w:left="-180"/>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180" w:left="-180"/>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180" w:left="-180"/>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180" w:left="-180"/>
        <w:jc w:val="center"/>
        <w:rPr>
          <w:rFonts w:ascii="Tahoma" w:hAnsi="Tahoma" w:cs="Tahoma"/>
          <w:sz w:val="28"/>
          <w:szCs w:val="28"/>
        </w:rPr>
      </w:pPr>
      <w:r>
        <w:rPr>
          <w:rFonts w:cs="Times New Roman" w:ascii="Times New Roman" w:hAnsi="Times New Roman"/>
          <w:sz w:val="28"/>
          <w:szCs w:val="28"/>
        </w:rPr>
        <w:t xml:space="preserve">                                                                 </w:t>
      </w:r>
      <w:bookmarkStart w:id="3" w:name="__UnoMark__1274_2124323953"/>
      <w:bookmarkEnd w:id="3"/>
      <w:r>
        <w:rPr>
          <w:rFonts w:cs="Times New Roman" w:ascii="Times New Roman" w:hAnsi="Times New Roman"/>
          <w:sz w:val="28"/>
          <w:szCs w:val="28"/>
        </w:rPr>
        <w:t xml:space="preserve">                   </w:t>
      </w:r>
    </w:p>
    <w:p>
      <w:pPr>
        <w:pStyle w:val="Normal"/>
        <w:widowControl/>
        <w:jc w:val="both"/>
        <w:rPr>
          <w:rFonts w:ascii="Times New Roman" w:hAnsi="Times New Roman" w:cs="Times New Roman"/>
          <w:sz w:val="24"/>
          <w:szCs w:val="24"/>
        </w:rPr>
      </w:pPr>
      <w:r>
        <w:rPr>
          <w:rFonts w:cs="Times New Roman" w:ascii="Times New Roman" w:hAnsi="Times New Roman"/>
          <w:sz w:val="24"/>
          <w:szCs w:val="24"/>
        </w:rPr>
        <w:t>Разослано: в дело, администрации Бугурусланского района, МКУ «ЦБ МУА»,</w:t>
      </w:r>
      <w:bookmarkStart w:id="4" w:name="_GoBack"/>
      <w:bookmarkEnd w:id="4"/>
      <w:r>
        <w:rPr>
          <w:rFonts w:cs="Times New Roman" w:ascii="Times New Roman" w:hAnsi="Times New Roman"/>
          <w:sz w:val="24"/>
          <w:szCs w:val="24"/>
        </w:rPr>
        <w:t xml:space="preserve"> финансовому отделу, РОО, РОК, ОФКСиТ,  МФЦ, главам сельсоветов района.</w:t>
      </w:r>
    </w:p>
    <w:p>
      <w:pPr>
        <w:pStyle w:val="Normal"/>
        <w:jc w:val="right"/>
        <w:rPr>
          <w:sz w:val="28"/>
          <w:szCs w:val="28"/>
        </w:rPr>
      </w:pPr>
      <w:r>
        <w:rPr>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Приложение </w:t>
      </w:r>
    </w:p>
    <w:p>
      <w:pPr>
        <w:pStyle w:val="Normal"/>
        <w:widowControl/>
        <w:tabs>
          <w:tab w:val="clear" w:pos="709"/>
          <w:tab w:val="right" w:pos="9353" w:leader="none"/>
        </w:tabs>
        <w:jc w:val="right"/>
        <w:rPr>
          <w:rFonts w:ascii="Times New Roman" w:hAnsi="Times New Roman" w:cs="Times New Roman"/>
          <w:sz w:val="28"/>
          <w:szCs w:val="28"/>
        </w:rPr>
      </w:pPr>
      <w:r>
        <w:rPr>
          <w:rFonts w:cs="Times New Roman" w:ascii="Times New Roman" w:hAnsi="Times New Roman"/>
          <w:sz w:val="28"/>
          <w:szCs w:val="28"/>
        </w:rPr>
        <w:t xml:space="preserve">к постановлению администрации </w:t>
      </w:r>
    </w:p>
    <w:p>
      <w:pPr>
        <w:pStyle w:val="Normal"/>
        <w:widowControl/>
        <w:tabs>
          <w:tab w:val="clear" w:pos="709"/>
          <w:tab w:val="right" w:pos="9353" w:leader="none"/>
        </w:tabs>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Бугурусланского района</w:t>
      </w:r>
    </w:p>
    <w:p>
      <w:pPr>
        <w:pStyle w:val="Normal"/>
        <w:widowControl/>
        <w:tabs>
          <w:tab w:val="clear" w:pos="709"/>
          <w:tab w:val="left" w:pos="708" w:leader="none"/>
          <w:tab w:val="left" w:pos="5877" w:leader="none"/>
        </w:tabs>
        <w:jc w:val="right"/>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от________________ №______ </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bookmarkStart w:id="5" w:name="P43"/>
      <w:bookmarkStart w:id="6" w:name="P43"/>
      <w:bookmarkEnd w:id="6"/>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Положение</w:t>
      </w:r>
    </w:p>
    <w:p>
      <w:pPr>
        <w:pStyle w:val="Normal"/>
        <w:jc w:val="center"/>
        <w:rPr>
          <w:rFonts w:ascii="Times New Roman" w:hAnsi="Times New Roman" w:cs="Times New Roman"/>
          <w:b/>
          <w:sz w:val="28"/>
          <w:szCs w:val="28"/>
        </w:rPr>
      </w:pPr>
      <w:r>
        <w:rPr>
          <w:rFonts w:cs="Times New Roman" w:ascii="Times New Roman" w:hAnsi="Times New Roman"/>
          <w:b/>
          <w:sz w:val="28"/>
          <w:szCs w:val="28"/>
        </w:rPr>
        <w:t>об оплате труда работников муниципальных учреждений</w:t>
      </w:r>
    </w:p>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администрации Бугурусланского  района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jc w:val="center"/>
        <w:rPr>
          <w:rFonts w:ascii="Times New Roman" w:hAnsi="Times New Roman" w:cs="Times New Roman"/>
          <w:sz w:val="28"/>
          <w:szCs w:val="28"/>
        </w:rPr>
      </w:pPr>
      <w:r>
        <w:rPr>
          <w:rFonts w:cs="Times New Roman" w:ascii="Times New Roman" w:hAnsi="Times New Roman"/>
          <w:sz w:val="28"/>
          <w:szCs w:val="28"/>
        </w:rPr>
        <w:t>Общие положения</w:t>
      </w:r>
    </w:p>
    <w:p>
      <w:pPr>
        <w:pStyle w:val="Normal"/>
        <w:ind w:hanging="0" w:left="360"/>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pPr>
      <w:r>
        <w:rPr>
          <w:rFonts w:cs="Times New Roman" w:ascii="Times New Roman" w:hAnsi="Times New Roman"/>
          <w:sz w:val="28"/>
          <w:szCs w:val="28"/>
        </w:rPr>
        <w:t xml:space="preserve">1.1. Настоящее  Положение разработано на основании Трудового </w:t>
      </w:r>
      <w:hyperlink r:id="rId5">
        <w:r>
          <w:rPr>
            <w:rStyle w:val="Hyperlink"/>
            <w:rFonts w:cs="Times New Roman" w:ascii="Times New Roman" w:hAnsi="Times New Roman"/>
            <w:sz w:val="28"/>
            <w:szCs w:val="28"/>
          </w:rPr>
          <w:t>кодекса</w:t>
        </w:r>
      </w:hyperlink>
      <w:r>
        <w:rPr>
          <w:rFonts w:cs="Times New Roman" w:ascii="Times New Roman" w:hAnsi="Times New Roman"/>
          <w:sz w:val="28"/>
          <w:szCs w:val="28"/>
        </w:rPr>
        <w:t xml:space="preserve"> РФ в соответствии с Едиными </w:t>
      </w:r>
      <w:hyperlink r:id="rId6">
        <w:r>
          <w:rPr>
            <w:rStyle w:val="Hyperlink"/>
            <w:rFonts w:cs="Times New Roman" w:ascii="Times New Roman" w:hAnsi="Times New Roman"/>
            <w:sz w:val="28"/>
            <w:szCs w:val="28"/>
          </w:rPr>
          <w:t>рекомендациями</w:t>
        </w:r>
      </w:hyperlink>
      <w:r>
        <w:rPr>
          <w:rFonts w:cs="Times New Roman" w:ascii="Times New Roman" w:hAnsi="Times New Roman"/>
          <w:sz w:val="28"/>
          <w:szCs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на 2023 год         (утвержденными решением Российской трехсторонней комиссии по регулированию социально-трудовых отношений от 23.12.2022 протокол № 11), других нормативных актов и включает в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рекомендуемые минимальные размеры окладов (должностных окладов) по профессиональным квалификационным группам (далее - ПКГ) и квалификационным уровням;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условия оплаты труда руководителя, его заместителя, главного бухгалтера муниципальных  бюджетных и казенных учреждений (далее - учреждения), администрации Бугурусланского района;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условия и размеры выплат компенсационного характера, наименование и рекомендуемые размеры выплат стимулирующего характера за счет средств муниципального бюджета и средств, полученных от приносящей доход деятельности, и критерии их установления;</w:t>
      </w:r>
    </w:p>
    <w:p>
      <w:pPr>
        <w:pStyle w:val="Normal"/>
        <w:tabs>
          <w:tab w:val="clear" w:pos="709"/>
          <w:tab w:val="left" w:pos="6075" w:leader="none"/>
        </w:tabs>
        <w:ind w:firstLine="709"/>
        <w:jc w:val="both"/>
        <w:rPr>
          <w:rFonts w:ascii="Times New Roman" w:hAnsi="Times New Roman" w:cs="Times New Roman"/>
          <w:sz w:val="28"/>
          <w:szCs w:val="28"/>
        </w:rPr>
      </w:pPr>
      <w:r>
        <w:rPr>
          <w:rFonts w:cs="Times New Roman" w:ascii="Times New Roman" w:hAnsi="Times New Roman"/>
          <w:sz w:val="28"/>
          <w:szCs w:val="28"/>
        </w:rPr>
        <w:t>условия выплаты материальной помощи.</w:t>
        <w:tab/>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1.2. Настоящее  Положение регулирует порядок оплаты труда работников учреждения за счет средств муниципального бюджета и средств, полученных от приносящей доход деятельности.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 Фонд оплаты труда работников учреждения формируется на календарный год исходя из объема лимитов бюджетных обязательств муниципального бюджета и средств, полученных от приносящей доход деятельности.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 Система оплаты труда работников учреждения, включая оклады, выплаты компенсационного и стимулирующего характера, устанавливается коллективными договорами, соглашениями, локальными нормативными актами в соответствии с законодательством Российской Федерации, нормативными правовыми актами, содержащими нормы трудового права, настоящим Положением, а также с учетом мнения представительного органа работников.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1.5. Заработная плата работника, полностью отработавшего норму рабочего времени и выполнившего нормы труда (трудовые обязанности) за этот период, состоящая из оклада, выплат компенсационного и стимулирующего характера, не может быть менее минимального размера оплаты труда, установленного в соответствии с действующим законодательством.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1.6. Заработная плата работника предельными размерами не ограничивается.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 Выплата заработной платы работникам учреждения производится за счет всех источников финансирования в пределах средств, предусмотренных учреждению на оплату труда.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 Положение об оплате труда работников учреждения утверждается локальным нормативным актом учреждения с учетом мнения представительного органа работников.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1.9. Штатное расписание учреждения утверждается руководителем учреждения по согласованию с учредителем.</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2. Порядок и условия оплаты труда работников учреждений</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tabs>
          <w:tab w:val="left" w:pos="709" w:leader="none"/>
        </w:tabs>
        <w:rPr>
          <w:rFonts w:ascii="Times New Roman" w:hAnsi="Times New Roman" w:cs="Times New Roman"/>
          <w:sz w:val="28"/>
          <w:szCs w:val="28"/>
        </w:rPr>
      </w:pPr>
      <w:r>
        <w:rPr>
          <w:rFonts w:cs="Times New Roman" w:ascii="Times New Roman" w:hAnsi="Times New Roman"/>
          <w:sz w:val="28"/>
          <w:szCs w:val="28"/>
        </w:rPr>
        <w:tab/>
        <w:t>2.1. Основные условия оплаты труда работников учреждений</w:t>
      </w:r>
    </w:p>
    <w:p>
      <w:pPr>
        <w:pStyle w:val="Normal"/>
        <w:ind w:firstLine="709"/>
        <w:jc w:val="both"/>
        <w:rPr/>
      </w:pPr>
      <w:r>
        <w:rPr>
          <w:rFonts w:cs="Times New Roman" w:ascii="Times New Roman" w:hAnsi="Times New Roman"/>
          <w:sz w:val="28"/>
          <w:szCs w:val="28"/>
        </w:rPr>
        <w:t xml:space="preserve">2.1.1. Рекомендуемые размеры окладов (должностных окладов) работников учреждения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на основе отнесения занимаемых ими должностей служащих и профессий рабочих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 </w:t>
      </w:r>
      <w:hyperlink r:id="rId7">
        <w:r>
          <w:rPr>
            <w:rStyle w:val="Hyperlink"/>
            <w:rFonts w:cs="Times New Roman" w:ascii="Times New Roman" w:hAnsi="Times New Roman"/>
            <w:sz w:val="28"/>
            <w:szCs w:val="28"/>
          </w:rPr>
          <w:t>N 247н</w:t>
        </w:r>
      </w:hyperlink>
      <w:r>
        <w:rPr>
          <w:rFonts w:cs="Times New Roman" w:ascii="Times New Roman" w:hAnsi="Times New Roman"/>
          <w:sz w:val="28"/>
          <w:szCs w:val="28"/>
        </w:rPr>
        <w:t xml:space="preserve"> (</w:t>
      </w:r>
      <w:r>
        <w:rPr>
          <w:rFonts w:cs="Times New Roman" w:ascii="Times New Roman" w:hAnsi="Times New Roman"/>
          <w:sz w:val="28"/>
          <w:szCs w:val="28"/>
          <w:shd w:fill="FFFFFF" w:val="clear"/>
        </w:rPr>
        <w:t>в ред. Приказа Минздравсоцразвития РФ </w:t>
      </w:r>
      <w:r>
        <w:fldChar w:fldCharType="begin"/>
      </w:r>
      <w:r>
        <w:rPr>
          <w:rStyle w:val="Hyperlink"/>
          <w:sz w:val="28"/>
          <w:shd w:fill="FFFFFF" w:val="clear"/>
          <w:szCs w:val="28"/>
          <w:rFonts w:cs="Times New Roman" w:ascii="Times New Roman" w:hAnsi="Times New Roman"/>
          <w:color w:val="000000"/>
        </w:rPr>
        <w:instrText xml:space="preserve"> HYPERLINK "https://normativ.kontur.ru/document?moduleId=1&amp;documentId=130718" \l "_blank"</w:instrText>
      </w:r>
      <w:r>
        <w:rPr>
          <w:rStyle w:val="Hyperlink"/>
          <w:sz w:val="28"/>
          <w:shd w:fill="FFFFFF" w:val="clear"/>
          <w:szCs w:val="28"/>
          <w:rFonts w:cs="Times New Roman" w:ascii="Times New Roman" w:hAnsi="Times New Roman"/>
          <w:color w:val="000000"/>
        </w:rPr>
        <w:fldChar w:fldCharType="separate"/>
      </w:r>
      <w:r>
        <w:rPr>
          <w:rStyle w:val="Hyperlink"/>
          <w:rFonts w:cs="Times New Roman" w:ascii="Times New Roman" w:hAnsi="Times New Roman"/>
          <w:color w:val="000000"/>
          <w:sz w:val="28"/>
          <w:szCs w:val="28"/>
          <w:shd w:fill="FFFFFF" w:val="clear"/>
        </w:rPr>
        <w:t>от 11.12.2008 N 718н</w:t>
      </w:r>
      <w:r>
        <w:rPr>
          <w:rStyle w:val="Hyperlink"/>
          <w:sz w:val="28"/>
          <w:shd w:fill="FFFFFF" w:val="clear"/>
          <w:szCs w:val="28"/>
          <w:rFonts w:cs="Times New Roman" w:ascii="Times New Roman" w:hAnsi="Times New Roman"/>
          <w:color w:val="000000"/>
        </w:rPr>
        <w:fldChar w:fldCharType="end"/>
      </w:r>
      <w:r>
        <w:rPr>
          <w:rFonts w:cs="Times New Roman" w:ascii="Times New Roman" w:hAnsi="Times New Roman"/>
          <w:sz w:val="28"/>
          <w:szCs w:val="28"/>
        </w:rPr>
        <w:t xml:space="preserve">) "Об утверждении профессиональных квалификационных групп общеотраслевых должностей руководителей, специалистов и служащих", от 29 мая 2008 г. </w:t>
      </w:r>
      <w:hyperlink r:id="rId8">
        <w:r>
          <w:rPr>
            <w:rStyle w:val="Hyperlink"/>
            <w:rFonts w:cs="Times New Roman" w:ascii="Times New Roman" w:hAnsi="Times New Roman"/>
            <w:sz w:val="28"/>
            <w:szCs w:val="28"/>
          </w:rPr>
          <w:t>N 248н</w:t>
        </w:r>
      </w:hyperlink>
      <w:r>
        <w:rPr>
          <w:rFonts w:cs="Times New Roman" w:ascii="Times New Roman" w:hAnsi="Times New Roman"/>
          <w:sz w:val="28"/>
          <w:szCs w:val="28"/>
        </w:rPr>
        <w:t xml:space="preserve"> </w:t>
      </w:r>
      <w:r>
        <w:rPr>
          <w:rFonts w:cs="Times New Roman" w:ascii="Times New Roman" w:hAnsi="Times New Roman"/>
          <w:sz w:val="28"/>
          <w:szCs w:val="28"/>
          <w:shd w:fill="FFFFFF" w:val="clear"/>
        </w:rPr>
        <w:t>(в ред. Приказа Минздравсоцразвития РФ </w:t>
      </w:r>
      <w:r>
        <w:fldChar w:fldCharType="begin"/>
      </w:r>
      <w:r>
        <w:rPr>
          <w:rStyle w:val="Hyperlink"/>
          <w:sz w:val="28"/>
          <w:shd w:fill="FFFFFF" w:val="clear"/>
          <w:szCs w:val="28"/>
          <w:rFonts w:cs="Times New Roman" w:ascii="Times New Roman" w:hAnsi="Times New Roman"/>
          <w:color w:val="000000"/>
        </w:rPr>
        <w:instrText xml:space="preserve"> HYPERLINK "https://normativ.kontur.ru/document?moduleId=1&amp;documentId=124519" \l "_blank"</w:instrText>
      </w:r>
      <w:r>
        <w:rPr>
          <w:rStyle w:val="Hyperlink"/>
          <w:sz w:val="28"/>
          <w:shd w:fill="FFFFFF" w:val="clear"/>
          <w:szCs w:val="28"/>
          <w:rFonts w:cs="Times New Roman" w:ascii="Times New Roman" w:hAnsi="Times New Roman"/>
          <w:color w:val="000000"/>
        </w:rPr>
        <w:fldChar w:fldCharType="separate"/>
      </w:r>
      <w:r>
        <w:rPr>
          <w:rStyle w:val="Hyperlink"/>
          <w:rFonts w:cs="Times New Roman" w:ascii="Times New Roman" w:hAnsi="Times New Roman"/>
          <w:color w:val="000000"/>
          <w:sz w:val="28"/>
          <w:szCs w:val="28"/>
          <w:shd w:fill="FFFFFF" w:val="clear"/>
        </w:rPr>
        <w:t>от 12.08.2008 N 417н</w:t>
      </w:r>
      <w:r>
        <w:rPr>
          <w:rStyle w:val="Hyperlink"/>
          <w:sz w:val="28"/>
          <w:shd w:fill="FFFFFF" w:val="clear"/>
          <w:szCs w:val="28"/>
          <w:rFonts w:cs="Times New Roman" w:ascii="Times New Roman" w:hAnsi="Times New Roman"/>
          <w:color w:val="000000"/>
        </w:rPr>
        <w:fldChar w:fldCharType="end"/>
      </w:r>
      <w:r>
        <w:rPr>
          <w:rFonts w:cs="Times New Roman" w:ascii="Times New Roman" w:hAnsi="Times New Roman"/>
          <w:sz w:val="28"/>
          <w:szCs w:val="28"/>
          <w:shd w:fill="FFFFFF" w:val="clear"/>
        </w:rPr>
        <w:t xml:space="preserve">) </w:t>
      </w:r>
      <w:r>
        <w:rPr>
          <w:rFonts w:cs="Times New Roman" w:ascii="Times New Roman" w:hAnsi="Times New Roman"/>
          <w:sz w:val="28"/>
          <w:szCs w:val="28"/>
        </w:rPr>
        <w:t xml:space="preserve">"Об утверждении профессиональных квалификационных групп общеотраслевых профессий рабочих". </w:t>
      </w:r>
    </w:p>
    <w:p>
      <w:pPr>
        <w:pStyle w:val="Normal"/>
        <w:ind w:firstLine="709"/>
        <w:jc w:val="both"/>
        <w:rPr/>
      </w:pPr>
      <w:r>
        <w:rPr>
          <w:rFonts w:cs="Times New Roman" w:ascii="Times New Roman" w:hAnsi="Times New Roman"/>
          <w:sz w:val="28"/>
          <w:szCs w:val="28"/>
        </w:rPr>
        <w:t xml:space="preserve">2.1.2. </w:t>
      </w:r>
      <w:hyperlink r:id="rId9">
        <w:r>
          <w:rPr>
            <w:rStyle w:val="Hyperlink"/>
            <w:rFonts w:cs="Times New Roman" w:ascii="Times New Roman" w:hAnsi="Times New Roman"/>
            <w:sz w:val="28"/>
            <w:szCs w:val="28"/>
          </w:rPr>
          <w:t>Критерии</w:t>
        </w:r>
      </w:hyperlink>
      <w:r>
        <w:rPr>
          <w:rFonts w:cs="Times New Roman" w:ascii="Times New Roman" w:hAnsi="Times New Roman"/>
          <w:sz w:val="28"/>
          <w:szCs w:val="28"/>
        </w:rPr>
        <w:t xml:space="preserve"> оценки отнесения работников учреждения к квалификационным группам содержатся в Приказе Министерства здравоохранения и социального развития Российской Федерации от 6 августа 2007 г. N 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 </w:t>
      </w:r>
    </w:p>
    <w:p>
      <w:pPr>
        <w:pStyle w:val="Normal"/>
        <w:ind w:firstLine="709"/>
        <w:jc w:val="both"/>
        <w:rPr/>
      </w:pPr>
      <w:r>
        <w:rPr>
          <w:rFonts w:cs="Times New Roman" w:ascii="Times New Roman" w:hAnsi="Times New Roman"/>
          <w:sz w:val="28"/>
          <w:szCs w:val="28"/>
        </w:rPr>
        <w:t xml:space="preserve">2.1.3. Рекомендуемые размеры окладов (должностных окладов) по квалификационным уровням рассчитываются на основе осуществления дифференциации должностей, включаемых в штатные расписания учреждений. Дифференциация должностей осуществляется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 Указанные должности должны соответствовать уставным целям учреждения и содержаться в соответствующих разделах Единого тарифно-квалификационного </w:t>
      </w:r>
      <w:hyperlink r:id="rId10">
        <w:r>
          <w:rPr>
            <w:rStyle w:val="Hyperlink"/>
            <w:rFonts w:cs="Times New Roman" w:ascii="Times New Roman" w:hAnsi="Times New Roman"/>
            <w:sz w:val="28"/>
            <w:szCs w:val="28"/>
          </w:rPr>
          <w:t>справочника</w:t>
        </w:r>
      </w:hyperlink>
      <w:r>
        <w:rPr>
          <w:rFonts w:cs="Times New Roman" w:ascii="Times New Roman" w:hAnsi="Times New Roman"/>
          <w:sz w:val="28"/>
          <w:szCs w:val="28"/>
        </w:rPr>
        <w:t xml:space="preserve"> работ и профессий рабочих и Едином квалификационном </w:t>
      </w:r>
      <w:hyperlink r:id="rId11">
        <w:r>
          <w:rPr>
            <w:rStyle w:val="Hyperlink"/>
            <w:rFonts w:cs="Times New Roman" w:ascii="Times New Roman" w:hAnsi="Times New Roman"/>
            <w:sz w:val="28"/>
            <w:szCs w:val="28"/>
          </w:rPr>
          <w:t>справочнике</w:t>
        </w:r>
      </w:hyperlink>
      <w:r>
        <w:rPr>
          <w:rFonts w:cs="Times New Roman" w:ascii="Times New Roman" w:hAnsi="Times New Roman"/>
          <w:sz w:val="28"/>
          <w:szCs w:val="28"/>
        </w:rPr>
        <w:t xml:space="preserve"> должностей руководителей, специалистов и служащих.</w:t>
      </w:r>
    </w:p>
    <w:p>
      <w:pPr>
        <w:pStyle w:val="Normal"/>
        <w:suppressAutoHyphens w:val="false"/>
        <w:jc w:val="both"/>
        <w:rPr>
          <w:rFonts w:ascii="Times New Roman" w:hAnsi="Times New Roman" w:cs="Times New Roman"/>
          <w:sz w:val="28"/>
          <w:szCs w:val="28"/>
        </w:rPr>
      </w:pPr>
      <w:r>
        <w:rPr>
          <w:rFonts w:cs="Times New Roman" w:ascii="Times New Roman" w:hAnsi="Times New Roman"/>
          <w:sz w:val="28"/>
          <w:szCs w:val="28"/>
        </w:rPr>
      </w:r>
    </w:p>
    <w:tbl>
      <w:tblPr>
        <w:tblW w:w="9679" w:type="dxa"/>
        <w:jc w:val="left"/>
        <w:tblInd w:w="0" w:type="dxa"/>
        <w:tblLayout w:type="fixed"/>
        <w:tblCellMar>
          <w:top w:w="75" w:type="dxa"/>
          <w:left w:w="40" w:type="dxa"/>
          <w:bottom w:w="75" w:type="dxa"/>
          <w:right w:w="40" w:type="dxa"/>
        </w:tblCellMar>
        <w:tblLook w:firstRow="0" w:noVBand="0" w:lastRow="0" w:firstColumn="0" w:lastColumn="0" w:noHBand="0" w:val="0000"/>
      </w:tblPr>
      <w:tblGrid>
        <w:gridCol w:w="3726"/>
        <w:gridCol w:w="3690"/>
        <w:gridCol w:w="24"/>
        <w:gridCol w:w="2239"/>
      </w:tblGrid>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Профессиональные квалификационные группы общеотраслевых профессий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рабочих</w:t>
            </w:r>
          </w:p>
        </w:tc>
      </w:tr>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Общеотраслевые профессии рабочих первого уровня             </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Квалификационные уровни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Профессии рабочих       </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Рекомендуемые</w:t>
            </w:r>
          </w:p>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оклады</w:t>
            </w:r>
          </w:p>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(должностные</w:t>
            </w:r>
          </w:p>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оклады), руб.</w:t>
            </w:r>
          </w:p>
        </w:tc>
      </w:tr>
      <w:tr>
        <w:trPr>
          <w:trHeight w:val="2604" w:hRule="atLeast"/>
        </w:trPr>
        <w:tc>
          <w:tcPr>
            <w:tcW w:w="3726" w:type="dxa"/>
            <w:vMerge w:val="restart"/>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1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Гардеробщик, дворник, истопник, кастелянша, няня, рабочий  по  обслуживанию зданий, сторож(вахтер), уборщик служебных помещений, уборщик территорий, повар, машинист  по  стирке белья</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1 квалификационный разряд</w:t>
            </w:r>
          </w:p>
        </w:tc>
        <w:tc>
          <w:tcPr>
            <w:tcW w:w="2239"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suppressAutoHyphens w:val="false"/>
              <w:rPr>
                <w:rFonts w:ascii="Times New Roman" w:hAnsi="Times New Roman" w:cs="Times New Roman"/>
                <w:sz w:val="28"/>
                <w:szCs w:val="28"/>
              </w:rPr>
            </w:pPr>
            <w:r>
              <w:rPr>
                <w:rFonts w:cs="Times New Roman" w:ascii="Times New Roman" w:hAnsi="Times New Roman"/>
                <w:sz w:val="28"/>
                <w:szCs w:val="28"/>
              </w:rPr>
              <w:t xml:space="preserve"> </w:t>
            </w:r>
          </w:p>
          <w:p>
            <w:pPr>
              <w:pStyle w:val="Normal"/>
              <w:widowControl w:val="false"/>
              <w:suppressAutoHyphens w:val="false"/>
              <w:spacing w:lineRule="auto" w:line="276" w:before="0" w:after="20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widowControl w:val="false"/>
              <w:suppressAutoHyphens w:val="false"/>
              <w:spacing w:lineRule="auto" w:line="276" w:before="0" w:after="20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widowControl w:val="false"/>
              <w:suppressAutoHyphens w:val="false"/>
              <w:spacing w:lineRule="auto" w:line="276" w:before="0" w:after="20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widowControl w:val="false"/>
              <w:suppressAutoHyphens w:val="false"/>
              <w:spacing w:lineRule="auto" w:line="276" w:before="0" w:after="200"/>
              <w:jc w:val="center"/>
              <w:rPr>
                <w:rFonts w:ascii="Times New Roman" w:hAnsi="Times New Roman" w:eastAsia="Calibri" w:cs="Times New Roman"/>
                <w:sz w:val="28"/>
                <w:szCs w:val="28"/>
              </w:rPr>
            </w:pPr>
            <w:r>
              <w:rPr>
                <w:rFonts w:eastAsia="Calibri" w:cs="Times New Roman" w:ascii="Times New Roman" w:hAnsi="Times New Roman"/>
                <w:sz w:val="28"/>
                <w:szCs w:val="28"/>
              </w:rPr>
              <w:t>3 552</w:t>
            </w:r>
          </w:p>
        </w:tc>
      </w:tr>
      <w:tr>
        <w:trPr>
          <w:trHeight w:val="350" w:hRule="atLeast"/>
        </w:trPr>
        <w:tc>
          <w:tcPr>
            <w:tcW w:w="3726" w:type="dxa"/>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2 квалификационный разряд</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3 701</w:t>
            </w:r>
          </w:p>
        </w:tc>
      </w:tr>
      <w:tr>
        <w:trPr>
          <w:trHeight w:val="438" w:hRule="atLeast"/>
        </w:trPr>
        <w:tc>
          <w:tcPr>
            <w:tcW w:w="3726" w:type="dxa"/>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3</w:t>
            </w:r>
            <w:r>
              <w:rPr>
                <w:rFonts w:cs="Courier New" w:ascii="Courier New" w:hAnsi="Courier New"/>
              </w:rPr>
              <w:t xml:space="preserve"> </w:t>
            </w:r>
            <w:r>
              <w:rPr>
                <w:rFonts w:cs="Times New Roman" w:ascii="Times New Roman" w:hAnsi="Times New Roman"/>
                <w:sz w:val="28"/>
                <w:szCs w:val="28"/>
              </w:rPr>
              <w:t>квалификационный разряд</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jc w:val="center"/>
              <w:rPr>
                <w:rFonts w:ascii="Times New Roman" w:hAnsi="Times New Roman" w:eastAsia="Calibri" w:cs="Times New Roman"/>
                <w:sz w:val="28"/>
                <w:szCs w:val="28"/>
              </w:rPr>
            </w:pPr>
            <w:r>
              <w:rPr>
                <w:rFonts w:eastAsia="Calibri" w:cs="Times New Roman" w:ascii="Times New Roman" w:hAnsi="Times New Roman"/>
                <w:sz w:val="28"/>
                <w:szCs w:val="28"/>
              </w:rPr>
              <w:t>3 871</w:t>
            </w:r>
          </w:p>
        </w:tc>
      </w:tr>
      <w:tr>
        <w:trPr>
          <w:trHeight w:val="2034"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2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Профессии рабочих, отнесенные к первому квалификационному уровню, при выполнении работ по профессии с производным наименованием "старший"</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Общеотраслевые профессии рабочих второго уровня             </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1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Водитель, водитель автомобиля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4 квалификационный разряд</w:t>
            </w:r>
          </w:p>
        </w:tc>
        <w:tc>
          <w:tcPr>
            <w:tcW w:w="2239"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4 058</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5 квалификационный разряд</w:t>
            </w:r>
          </w:p>
        </w:tc>
        <w:tc>
          <w:tcPr>
            <w:tcW w:w="2239"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4 505</w:t>
            </w:r>
          </w:p>
        </w:tc>
      </w:tr>
      <w:tr>
        <w:trPr>
          <w:trHeight w:val="2618"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2 квалификационный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уровень  </w:t>
            </w:r>
          </w:p>
        </w:tc>
        <w:tc>
          <w:tcPr>
            <w:tcW w:w="36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263"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jc w:val="center"/>
              <w:rPr>
                <w:rFonts w:ascii="Times New Roman" w:hAnsi="Times New Roman" w:eastAsia="Calibri" w:cs="Times New Roman"/>
                <w:sz w:val="28"/>
                <w:szCs w:val="28"/>
              </w:rPr>
            </w:pPr>
            <w:r>
              <w:rPr>
                <w:rFonts w:eastAsia="Calibri" w:cs="Times New Roman" w:ascii="Times New Roman" w:hAnsi="Times New Roman"/>
                <w:sz w:val="28"/>
                <w:szCs w:val="28"/>
              </w:rPr>
            </w:r>
          </w:p>
        </w:tc>
      </w:tr>
      <w:tr>
        <w:trPr>
          <w:trHeight w:val="563"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6 квалификационный разряд</w:t>
            </w:r>
          </w:p>
        </w:tc>
        <w:tc>
          <w:tcPr>
            <w:tcW w:w="2263"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4 842</w:t>
            </w:r>
          </w:p>
        </w:tc>
      </w:tr>
      <w:tr>
        <w:trPr>
          <w:trHeight w:val="526"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7 квалификационный разряд</w:t>
            </w:r>
          </w:p>
        </w:tc>
        <w:tc>
          <w:tcPr>
            <w:tcW w:w="2263"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jc w:val="center"/>
              <w:rPr>
                <w:rFonts w:ascii="Times New Roman" w:hAnsi="Times New Roman" w:eastAsia="Calibri" w:cs="Times New Roman"/>
                <w:sz w:val="28"/>
                <w:szCs w:val="28"/>
              </w:rPr>
            </w:pPr>
            <w:r>
              <w:rPr>
                <w:rFonts w:eastAsia="Calibri" w:cs="Times New Roman" w:ascii="Times New Roman" w:hAnsi="Times New Roman"/>
                <w:sz w:val="28"/>
                <w:szCs w:val="28"/>
              </w:rPr>
              <w:t>5 323</w:t>
            </w:r>
          </w:p>
        </w:tc>
      </w:tr>
      <w:tr>
        <w:trPr>
          <w:trHeight w:val="2592"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3 квалификационный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уровень  </w:t>
            </w:r>
          </w:p>
        </w:tc>
        <w:tc>
          <w:tcPr>
            <w:tcW w:w="36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2263"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rPr>
                <w:rFonts w:ascii="Times New Roman" w:hAnsi="Times New Roman" w:eastAsia="Calibri" w:cs="Times New Roman"/>
                <w:sz w:val="28"/>
                <w:szCs w:val="28"/>
              </w:rPr>
            </w:pPr>
            <w:r>
              <w:rPr>
                <w:rFonts w:eastAsia="Calibri" w:cs="Times New Roman" w:ascii="Times New Roman" w:hAnsi="Times New Roman"/>
                <w:sz w:val="28"/>
                <w:szCs w:val="28"/>
              </w:rPr>
            </w:r>
          </w:p>
        </w:tc>
      </w:tr>
      <w:tr>
        <w:trPr>
          <w:trHeight w:val="549"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tabs>
                <w:tab w:val="clear" w:pos="709"/>
                <w:tab w:val="left" w:pos="1064" w:leader="none"/>
              </w:tabs>
              <w:suppressAutoHyphens w:val="false"/>
              <w:spacing w:lineRule="auto" w:line="276" w:before="0" w:after="200"/>
              <w:jc w:val="center"/>
              <w:rPr>
                <w:rFonts w:ascii="Calibri" w:hAnsi="Calibri" w:eastAsia="Calibri" w:cs="Times New Roman"/>
                <w:sz w:val="22"/>
                <w:szCs w:val="22"/>
              </w:rPr>
            </w:pPr>
            <w:r>
              <w:rPr>
                <w:rFonts w:eastAsia="Calibri" w:cs="Times New Roman" w:ascii="Calibri" w:hAnsi="Calibri"/>
                <w:sz w:val="22"/>
                <w:szCs w:val="22"/>
              </w:rPr>
            </w:r>
          </w:p>
        </w:tc>
        <w:tc>
          <w:tcPr>
            <w:tcW w:w="36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rPr>
                <w:rFonts w:ascii="Times New Roman" w:hAnsi="Times New Roman" w:cs="Times New Roman"/>
                <w:sz w:val="28"/>
                <w:szCs w:val="28"/>
              </w:rPr>
            </w:pPr>
            <w:r>
              <w:rPr>
                <w:rFonts w:cs="Times New Roman" w:ascii="Times New Roman" w:hAnsi="Times New Roman"/>
                <w:sz w:val="28"/>
                <w:szCs w:val="28"/>
              </w:rPr>
              <w:t>8 квалификационный разряд</w:t>
            </w:r>
          </w:p>
        </w:tc>
        <w:tc>
          <w:tcPr>
            <w:tcW w:w="2263"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rPr>
              <w:t>5 848</w:t>
            </w:r>
          </w:p>
        </w:tc>
      </w:tr>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Профессиональные квалификационные группы общеотраслевых должностей руководителей, специалистов и служащих</w:t>
            </w:r>
          </w:p>
        </w:tc>
      </w:tr>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Общеотраслевые должности служащих 1 уровня                </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1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Агент по  снабжению, архивариус, инспектор  по  учету, кассир,  секретарь,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секретарь-машинистка,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делопроизводитель             </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false"/>
              <w:spacing w:lineRule="auto" w:line="276" w:before="0" w:after="200"/>
              <w:jc w:val="center"/>
              <w:rPr>
                <w:rFonts w:ascii="Calibri" w:hAnsi="Calibri" w:eastAsia="Calibri" w:cs="Times New Roman"/>
                <w:sz w:val="28"/>
                <w:szCs w:val="28"/>
              </w:rPr>
            </w:pPr>
            <w:r>
              <w:rPr>
                <w:rFonts w:eastAsia="Calibri" w:cs="Times New Roman" w:ascii="Calibri" w:hAnsi="Calibri"/>
                <w:sz w:val="28"/>
                <w:szCs w:val="28"/>
              </w:rPr>
            </w:r>
          </w:p>
          <w:p>
            <w:pPr>
              <w:pStyle w:val="Normal"/>
              <w:widowControl w:val="false"/>
              <w:suppressAutoHyphens w:val="false"/>
              <w:spacing w:lineRule="auto" w:line="276" w:before="0" w:after="200"/>
              <w:jc w:val="center"/>
              <w:rPr>
                <w:rFonts w:ascii="Times New Roman" w:hAnsi="Times New Roman" w:eastAsia="Calibri" w:cs="Times New Roman"/>
                <w:sz w:val="28"/>
                <w:szCs w:val="28"/>
              </w:rPr>
            </w:pPr>
            <w:r>
              <w:rPr>
                <w:rFonts w:eastAsia="Calibri" w:cs="Times New Roman" w:ascii="Times New Roman" w:hAnsi="Times New Roman"/>
                <w:sz w:val="28"/>
                <w:szCs w:val="28"/>
              </w:rPr>
              <w:t>3 018- 5 515</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2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Должности служащих первого квалификационного уровня, по которым может устанавливаться производное должностное наименование "старший"</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6 444 -6 582</w:t>
            </w:r>
          </w:p>
        </w:tc>
      </w:tr>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Общеотраслевые должности служащих 2 уровня                </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1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Диспетчер, инспектор по кадрам, лаборант, секретарь руководителя.</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4 115- 4 799</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2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Заведующий хозяйством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Должности служащих первого квалификационного уровня, по которым может устанавливаться производное должностное наименование "старший"</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3 480 -4 937</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3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Начальник хозяйственного отдела</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4 435- 9 873</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4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Механик</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4 435-5 135</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5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4 435-5 827</w:t>
            </w:r>
          </w:p>
        </w:tc>
      </w:tr>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Общеотраслевые должности служащих 3 уровня                </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1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Юрисконсульт, экономист,      </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инженер, бухгалтер, инженер-программист (  программист),специалист  по  кадрам, специалист,</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администратор, аналитик  </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6 856-13 301</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2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Должности служащих первого квалификационного уровня, по которым может устанавливаться II внутридолжностная категория</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3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Должности служащих первого квалификационного уровня, по которым может устанавливаться I внутридолжностная категория</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4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9 241-11 382</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5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Главные специалисты: в отделах, отделениях, лабораториях, мастерских; заместитель главного бухгалтера</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14 261- 15 220</w:t>
            </w:r>
          </w:p>
        </w:tc>
      </w:tr>
      <w:tr>
        <w:trPr>
          <w:trHeight w:val="240" w:hRule="atLeast"/>
        </w:trPr>
        <w:tc>
          <w:tcPr>
            <w:tcW w:w="9679"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Общеотраслевые должности служащих 4 уровня                </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1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Начальник отдела материально-технического снабжения</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9 873- 10 967</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2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Главный*</w:t>
            </w:r>
          </w:p>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 xml:space="preserve">(диспетчер, механик, инженер)               </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10 283- 11 656</w:t>
            </w:r>
          </w:p>
        </w:tc>
      </w:tr>
      <w:tr>
        <w:trPr>
          <w:trHeight w:val="240" w:hRule="atLeast"/>
        </w:trPr>
        <w:tc>
          <w:tcPr>
            <w:tcW w:w="3726"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spacing w:lineRule="auto" w:line="276" w:before="0" w:after="200"/>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3        квалификационный уровень  </w:t>
            </w:r>
          </w:p>
        </w:tc>
        <w:tc>
          <w:tcPr>
            <w:tcW w:w="3714"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both"/>
              <w:rPr>
                <w:rFonts w:ascii="Times New Roman" w:hAnsi="Times New Roman" w:cs="Times New Roman"/>
                <w:sz w:val="28"/>
                <w:szCs w:val="28"/>
              </w:rPr>
            </w:pPr>
            <w:r>
              <w:rPr>
                <w:rFonts w:cs="Times New Roman" w:ascii="Times New Roman" w:hAnsi="Times New Roman"/>
                <w:sz w:val="28"/>
                <w:szCs w:val="28"/>
              </w:rPr>
              <w:t>Директор (начальник, заведующий) филиала, другого обособленного структурного подразделения</w:t>
            </w:r>
          </w:p>
        </w:tc>
        <w:tc>
          <w:tcPr>
            <w:tcW w:w="22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false"/>
              <w:jc w:val="center"/>
              <w:rPr>
                <w:rFonts w:ascii="Times New Roman" w:hAnsi="Times New Roman" w:cs="Times New Roman"/>
                <w:sz w:val="28"/>
                <w:szCs w:val="28"/>
              </w:rPr>
            </w:pPr>
            <w:r>
              <w:rPr>
                <w:rFonts w:cs="Times New Roman" w:ascii="Times New Roman" w:hAnsi="Times New Roman"/>
                <w:sz w:val="28"/>
                <w:szCs w:val="28"/>
              </w:rPr>
              <w:t>11 656- 15 904</w:t>
            </w:r>
          </w:p>
        </w:tc>
      </w:tr>
    </w:tbl>
    <w:p>
      <w:pPr>
        <w:pStyle w:val="Normal"/>
        <w:suppressAutoHyphens w:val="false"/>
        <w:ind w:hanging="0" w:left="45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Примечание: по производственной  необходимости в учреждениях могут дополнительно вводится  должности руководителей, специалистов, служащих и  рабочих профессий в соответствии с Единым тарифно- квалификационным справочником работ  и профессий.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2.1.4. Конкретные размеры должностных окладов, доплат и надбавок компенсационного и стимулирующего характера работников учреждений устанавливаются в пределах утвержденных предельных объемов ассигнований местного бюджета, которые могут быть использованы на оплату труда, а также средств, поступающих от предпринимательской и иной приносящий доход деятельности, направляемых на оплату труда.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2.1.5.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2.2. Условия оплаты труда руководителя учреждения,</w:t>
      </w:r>
    </w:p>
    <w:p>
      <w:pPr>
        <w:pStyle w:val="Normal"/>
        <w:jc w:val="center"/>
        <w:rPr>
          <w:rFonts w:ascii="Times New Roman" w:hAnsi="Times New Roman" w:cs="Times New Roman"/>
          <w:sz w:val="28"/>
          <w:szCs w:val="28"/>
        </w:rPr>
      </w:pPr>
      <w:r>
        <w:rPr>
          <w:rFonts w:cs="Times New Roman" w:ascii="Times New Roman" w:hAnsi="Times New Roman"/>
          <w:sz w:val="28"/>
          <w:szCs w:val="28"/>
        </w:rPr>
        <w:t>его заместителя, главного бухгалтера</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2.2.1. Заработная плата руководителя учреждения, его заместителей, главного бухгалтера состоит из должностного оклада, выплат компенсационного и стимулирующего характера.</w:t>
      </w:r>
    </w:p>
    <w:p>
      <w:pPr>
        <w:pStyle w:val="Normal"/>
        <w:ind w:firstLine="709"/>
        <w:jc w:val="both"/>
        <w:rPr/>
      </w:pPr>
      <w:r>
        <w:rPr>
          <w:rFonts w:cs="Times New Roman" w:ascii="Times New Roman" w:hAnsi="Times New Roman"/>
          <w:sz w:val="28"/>
          <w:szCs w:val="28"/>
        </w:rPr>
        <w:t xml:space="preserve">2.2.2. Выплаты компенсационного характера руководителю учреждения, его заместителю и главному бухгалтеру устанавливаются в соответствии с </w:t>
      </w:r>
      <w:hyperlink w:anchor="P183">
        <w:r>
          <w:rPr>
            <w:rStyle w:val="Hyperlink"/>
            <w:rFonts w:cs="Times New Roman" w:ascii="Times New Roman" w:hAnsi="Times New Roman"/>
            <w:sz w:val="28"/>
            <w:szCs w:val="28"/>
          </w:rPr>
          <w:t>разделом 2.3</w:t>
        </w:r>
      </w:hyperlink>
      <w:r>
        <w:rPr>
          <w:rFonts w:cs="Times New Roman" w:ascii="Times New Roman" w:hAnsi="Times New Roman"/>
          <w:sz w:val="28"/>
          <w:szCs w:val="28"/>
        </w:rPr>
        <w:t xml:space="preserve">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2.2.3. Руководителю учреждения могут быть установлены следующие виды стимулирующих выплат: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выплаты за стаж работы, выслугу лет;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премиальные выплаты за интенсивность, результаты и качество выполняемых работ;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премиальные выплаты по итогам работы за квартал, полугодие и  год.</w:t>
      </w:r>
    </w:p>
    <w:p>
      <w:pPr>
        <w:pStyle w:val="Normal"/>
        <w:ind w:firstLine="709"/>
        <w:jc w:val="both"/>
        <w:rPr/>
      </w:pPr>
      <w:r>
        <w:rPr>
          <w:rFonts w:cs="Times New Roman" w:ascii="Times New Roman" w:hAnsi="Times New Roman"/>
          <w:sz w:val="28"/>
          <w:szCs w:val="28"/>
        </w:rPr>
        <w:t xml:space="preserve">2.2.4. Определение размера стимулирующих выплат за стаж работы производится в соответствии с </w:t>
      </w:r>
      <w:hyperlink w:anchor="P209">
        <w:r>
          <w:rPr>
            <w:rStyle w:val="Hyperlink"/>
            <w:rFonts w:cs="Times New Roman" w:ascii="Times New Roman" w:hAnsi="Times New Roman"/>
            <w:sz w:val="28"/>
            <w:szCs w:val="28"/>
          </w:rPr>
          <w:t>п. 2.4</w:t>
        </w:r>
      </w:hyperlink>
      <w:r>
        <w:rPr>
          <w:rFonts w:cs="Times New Roman" w:ascii="Times New Roman" w:hAnsi="Times New Roman"/>
          <w:sz w:val="28"/>
          <w:szCs w:val="28"/>
        </w:rPr>
        <w:t xml:space="preserve">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2.2.5. Определение размера премиальных выплат за интенсивность, результаты и качество выполняемых работ руководителю учреждения осуществляется с учетом следующих критериев оценки эффективности и результативности деятельности муниципальных учреждений: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Соблюдение исполнительской дисциплины (соблюдение сроков исполнения поручений главы муниципального образования Бугурусланский район, заместителей главы, представления отчетов, запрашиваемых документов, муниципального задания).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Отсутствие установленных фактов нарушения бюджетного законодательства Российской Федерации, выявленных при проведении проверок финансово-хозяйственной деятельности учреждений.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 Соблюдение норм законодательства о размещении заказов на поставки товаров, выполнение работ, оказание услуг для муниципальных нужд и нужд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учреждения.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Реализация права работников на охрану труда (отсутствие нарушений правил, выявленных при проверке требований охраны труда, пожарной безопасности).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Качественное и своевременное выполнение работ и оказание услуг в соответствии с утвержденным муниципальным заданием на текущий год. Отсутствие невыполненного объема работ и услуг, соответствующего утвержденному муниципальному заданию предшествующего года.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 Отсутствие задолженности по выплате заработной платы.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7. Отсутствие задолженности по налогам и сборам.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 Отсутствие фактов нецелевого использования средств и имущества.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9. Своевременное проведение мероприятий по постановке на учет объектов основных средств.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 Использование финансовых средств в соответствии с утвержденным планом финансово-хозяйственной деятельности.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 Отсутствие просроченной кредиторской и дебиторской задолженностей.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12.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 Отсутствие фактов совершения учреждением сделок без согласования с Учредителем (в случае если такое согласование предусмотрено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 Улучшение качества предоставляемых услуг (отсутствие жалоб от физических и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15. Укомплектованность основным персоналом (не менее 75 %).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2.2.6. Размер премиальных выплат руководителю учреждения за интенсивность, результаты и качество выполняемых работ составляет  до 100 % должностного оклада. Выплата премии производится ежемесячно. При выявлении нарушений размер премиальной выплаты снижается на 10 - 30 %, в случаях грубых нарушений, повлекших тяжкие последствия, снижение размера премиальных выплат может составить до 50 %.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2.2.7. Размер премиальных выплат по итогам работы, определяемый с учетом оценки результатов деятельности учреждения за отчетный период, назначается распоряжением администрации Бугурусланского района.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2.2.8. Размеры должностных окладов заместителя руководителя учреждения, главного бухгалтера устанавливаются на 10 - 30 % ниже должностного оклада руководителя учреждения.</w:t>
      </w:r>
    </w:p>
    <w:p>
      <w:pPr>
        <w:pStyle w:val="Normal"/>
        <w:ind w:firstLine="709"/>
        <w:jc w:val="both"/>
        <w:rPr/>
      </w:pPr>
      <w:r>
        <w:rPr>
          <w:rFonts w:cs="Times New Roman" w:ascii="Times New Roman" w:hAnsi="Times New Roman"/>
          <w:sz w:val="28"/>
          <w:szCs w:val="28"/>
        </w:rPr>
        <w:t xml:space="preserve">2.2.9. Выплаты стимулирующего характера заместителю руководителя и главному бухгалтеру устанавливаются в соответствии с </w:t>
      </w:r>
      <w:hyperlink w:anchor="P209">
        <w:r>
          <w:rPr>
            <w:rStyle w:val="Hyperlink"/>
            <w:rFonts w:cs="Times New Roman" w:ascii="Times New Roman" w:hAnsi="Times New Roman"/>
            <w:sz w:val="28"/>
            <w:szCs w:val="28"/>
          </w:rPr>
          <w:t>разделом 2.4</w:t>
        </w:r>
      </w:hyperlink>
      <w:r>
        <w:rPr>
          <w:rFonts w:cs="Times New Roman" w:ascii="Times New Roman" w:hAnsi="Times New Roman"/>
          <w:sz w:val="28"/>
          <w:szCs w:val="28"/>
        </w:rPr>
        <w:t xml:space="preserve">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jc w:val="center"/>
        <w:rPr>
          <w:rFonts w:ascii="Times New Roman" w:hAnsi="Times New Roman" w:cs="Times New Roman"/>
          <w:sz w:val="28"/>
          <w:szCs w:val="28"/>
        </w:rPr>
      </w:pPr>
      <w:bookmarkStart w:id="7" w:name="P183"/>
      <w:bookmarkEnd w:id="7"/>
      <w:r>
        <w:rPr>
          <w:rFonts w:cs="Times New Roman" w:ascii="Times New Roman" w:hAnsi="Times New Roman"/>
          <w:sz w:val="28"/>
          <w:szCs w:val="28"/>
        </w:rPr>
        <w:t>2.3. Порядок и условия установления выплат</w:t>
      </w:r>
    </w:p>
    <w:p>
      <w:pPr>
        <w:pStyle w:val="Normal"/>
        <w:suppressAutoHyphens w:val="false"/>
        <w:jc w:val="center"/>
        <w:rPr>
          <w:rFonts w:ascii="Times New Roman" w:hAnsi="Times New Roman" w:cs="Times New Roman"/>
          <w:sz w:val="28"/>
          <w:szCs w:val="28"/>
        </w:rPr>
      </w:pPr>
      <w:r>
        <w:rPr>
          <w:rFonts w:cs="Times New Roman" w:ascii="Times New Roman" w:hAnsi="Times New Roman"/>
          <w:sz w:val="28"/>
          <w:szCs w:val="28"/>
        </w:rPr>
        <w:t>компенсационного характера</w:t>
      </w:r>
    </w:p>
    <w:p>
      <w:pPr>
        <w:pStyle w:val="Normal"/>
        <w:suppressAutoHyphens w:val="false"/>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2.3.1. Работникам учреждений устанавливаются следующие выплаты компенсационного характера:</w:t>
      </w:r>
    </w:p>
    <w:p>
      <w:pPr>
        <w:pStyle w:val="Normal"/>
        <w:ind w:firstLine="709"/>
        <w:jc w:val="both"/>
        <w:rPr/>
      </w:pPr>
      <w:r>
        <w:rPr>
          <w:rFonts w:cs="Times New Roman" w:ascii="Times New Roman" w:hAnsi="Times New Roman"/>
          <w:sz w:val="28"/>
          <w:szCs w:val="28"/>
        </w:rPr>
        <w:t xml:space="preserve">- выплаты работникам, занятым на тяжелых работах, работах с вредными и (или) опасными и иными особыми условиями труда, в соответствии с Трудовым </w:t>
      </w:r>
      <w:hyperlink r:id="rId12">
        <w:r>
          <w:rPr>
            <w:rStyle w:val="Hyperlink"/>
            <w:rFonts w:cs="Times New Roman" w:ascii="Times New Roman" w:hAnsi="Times New Roman"/>
            <w:sz w:val="28"/>
            <w:szCs w:val="28"/>
          </w:rPr>
          <w:t>кодексом</w:t>
        </w:r>
      </w:hyperlink>
      <w:r>
        <w:rPr>
          <w:rFonts w:cs="Times New Roman" w:ascii="Times New Roman" w:hAnsi="Times New Roman"/>
          <w:sz w:val="28"/>
          <w:szCs w:val="28"/>
        </w:rPr>
        <w:t xml:space="preserve"> Российской Федерации, </w:t>
      </w:r>
      <w:hyperlink r:id="rId13">
        <w:r>
          <w:rPr>
            <w:rStyle w:val="Hyperlink"/>
            <w:rFonts w:cs="Times New Roman" w:ascii="Times New Roman" w:hAnsi="Times New Roman"/>
            <w:sz w:val="28"/>
            <w:szCs w:val="28"/>
          </w:rPr>
          <w:t>приказом</w:t>
        </w:r>
      </w:hyperlink>
      <w:r>
        <w:rPr>
          <w:rFonts w:cs="Times New Roman" w:ascii="Times New Roman" w:hAnsi="Times New Roman"/>
          <w:sz w:val="28"/>
          <w:szCs w:val="28"/>
        </w:rPr>
        <w:t xml:space="preserve"> Министерства здравоохранения и социального развития Российской Федерации от 16 февраля 2009 г. N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Для установления указанной выплаты проводится аттестация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 Аттестация рабочих мест по условиям труда проводится в порядке, установленном трудовым законодательством. Если по итогам аттестации рабочее место признается безопасным, то осуществление указанной выплаты не производится.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выплаты за работу в местностях с особыми климатическими условиями;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выплаты за работу в условиях, отклоняющихся от нормальных: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доплата за совмещение профессий (должностей)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доплата за расширение зон обслуживания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доплата за работу в ночное время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Размер доплаты - 20 процентов должностного оклада за час работы работника.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повышенная оплата за работу в выходные и нерабочие праздничные дни.</w:t>
      </w:r>
    </w:p>
    <w:p>
      <w:pPr>
        <w:pStyle w:val="Normal"/>
        <w:ind w:firstLine="709"/>
        <w:jc w:val="both"/>
        <w:rPr/>
      </w:pPr>
      <w:r>
        <w:rPr>
          <w:rFonts w:cs="Times New Roman" w:ascii="Times New Roman" w:hAnsi="Times New Roman"/>
          <w:sz w:val="28"/>
          <w:szCs w:val="28"/>
        </w:rPr>
        <w:t xml:space="preserve">Работникам, привлекавшимся к работе в выходные и нерабочие праздничные дни, в случае их отказа от предоставления другого дня отдыха, в соответствии со </w:t>
      </w:r>
      <w:hyperlink r:id="rId14">
        <w:r>
          <w:rPr>
            <w:rStyle w:val="Hyperlink"/>
            <w:rFonts w:cs="Times New Roman" w:ascii="Times New Roman" w:hAnsi="Times New Roman"/>
            <w:sz w:val="28"/>
            <w:szCs w:val="28"/>
          </w:rPr>
          <w:t>ст. 153</w:t>
        </w:r>
      </w:hyperlink>
      <w:r>
        <w:rPr>
          <w:rFonts w:cs="Times New Roman" w:ascii="Times New Roman" w:hAnsi="Times New Roman"/>
          <w:sz w:val="28"/>
          <w:szCs w:val="28"/>
        </w:rPr>
        <w:t xml:space="preserve"> Трудового кодекса Российской Федерации производится доплата за работу в выходные и нерабочие праздничные дни.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Размер доплаты составляет: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не менее одинарной дневной ставки сверх оклада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если работа производилась сверх месячной нормы рабочего времени;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не менее одинарной части оклада сверх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сверх оклада за каждый час работы, если работа производилась сверх месячной нормы рабочего времени.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повышенная оплата сверхурочной работы</w:t>
      </w:r>
    </w:p>
    <w:p>
      <w:pPr>
        <w:pStyle w:val="Normal"/>
        <w:ind w:firstLine="709"/>
        <w:jc w:val="both"/>
        <w:rPr/>
      </w:pPr>
      <w:r>
        <w:rPr>
          <w:rFonts w:cs="Times New Roman" w:ascii="Times New Roman" w:hAnsi="Times New Roman"/>
          <w:sz w:val="28"/>
          <w:szCs w:val="28"/>
        </w:rPr>
        <w:t xml:space="preserve">Работникам, привлекавшимся к сверхурочным работам, в случае их отказа от предоставления дополнительного времени отдыха, в соответствии со </w:t>
      </w:r>
      <w:hyperlink r:id="rId15">
        <w:r>
          <w:rPr>
            <w:rStyle w:val="Hyperlink"/>
            <w:rFonts w:cs="Times New Roman" w:ascii="Times New Roman" w:hAnsi="Times New Roman"/>
            <w:sz w:val="28"/>
            <w:szCs w:val="28"/>
          </w:rPr>
          <w:t>ст. 152</w:t>
        </w:r>
      </w:hyperlink>
      <w:r>
        <w:rPr>
          <w:rFonts w:cs="Times New Roman" w:ascii="Times New Roman" w:hAnsi="Times New Roman"/>
          <w:sz w:val="28"/>
          <w:szCs w:val="28"/>
        </w:rPr>
        <w:t xml:space="preserve"> Трудового кодекса Российской Федерации производится повышенная оплата за сверхурочную работу.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Повышенная оплата сверхурочной работы составляет за первые два часа работы не менее полуторного размера, за последующие часы - двойного размера.</w:t>
      </w:r>
    </w:p>
    <w:p>
      <w:pPr>
        <w:pStyle w:val="Normal"/>
        <w:ind w:firstLine="709"/>
        <w:jc w:val="both"/>
        <w:rPr>
          <w:rFonts w:ascii="Times New Roman" w:hAnsi="Times New Roman" w:cs="Times New Roman"/>
          <w:sz w:val="28"/>
          <w:szCs w:val="28"/>
        </w:rPr>
      </w:pPr>
      <w:bookmarkStart w:id="8" w:name="P209"/>
      <w:bookmarkEnd w:id="8"/>
      <w:r>
        <w:rPr>
          <w:rFonts w:cs="Times New Roman" w:ascii="Times New Roman" w:hAnsi="Times New Roman"/>
          <w:sz w:val="28"/>
          <w:szCs w:val="28"/>
        </w:rPr>
        <w:t>2.3.2. Решение о введении соответствующих выплат принимается руководителем учреждения с учетом обеспечения указанных выплат средствами муниципального бюджета.</w:t>
      </w:r>
    </w:p>
    <w:p>
      <w:pPr>
        <w:pStyle w:val="Normal"/>
        <w:tabs>
          <w:tab w:val="clear" w:pos="709"/>
          <w:tab w:val="left" w:pos="1418" w:leader="none"/>
          <w:tab w:val="center" w:pos="4947" w:leader="none"/>
        </w:tabs>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2.4. Порядок и условия выплат стимулирующего характера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2.4.1. В целях стимулирования к качественному труду и поощрения работников учреждений за выполненную работу работникам учреждений устанавливаются следующие виды выплат стимулирующего характера: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персональный повышающий коэффициент;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выплаты за интенсивность и высокие результаты работы;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выплаты за качество выполняемых работ;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выплаты за стаж непрерывной работы, выслугу лет;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премиальные выплаты по итогам работы за год.</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2.4.2. Положением об оплате труда работников учреждения устанавливаются персональные повышающие коэффициенты к окладам работников.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Повышающие коэффициенты к рекомендуемым минимальным окладам (должностным окладам) по соответствующим профессиональным квалификационным группам и квалификационным уровням устанавливаются работникам с учетом уровня их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Решение об установлении повышающего коэффициента к должностному окладу по соответствующей профессиональной квалификационной группе и его размере принимается руководителем учреждения в отношении конкретного работника с учетом обеспечения указанных выплат финансовыми средствами.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Рекомендуемый повышающий коэффициент устанавливается в размере до 6,0. Применение повышающего коэффициента к окладу не образует новый оклад и не учитывается при начислении стимулирующих и компенсационных выплат, устанавливаемых в процентном соотношении к рекомендуемому минимальному окладу (должностному окладу).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2.4.3. Выплаты стимулирующего характера производятся в пределах имеющихся средств. Конкретный размер может определяться как в процентах к окладу работника, так и в абсолютном размере.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2.4.4. Средства на оплату труда, формируемые за счет бюджетных ассигнований муниципального бюджета, могут направляться учреждением на выплаты стимулирующего характера. Рекомендуемый объем средств на указанные выплаты должен составлять не менее 30 % средств на оплату труда, формируемых за счет ассигнований районного бюджета.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2.4.5. Виды выплат должны отвечать уставным задачам учреждения и основываться на показателях оценки эффективности его работы.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2.4.6. Порядок, размеры и условия осуществления выплат стимулирующего характера для всех категорий работников учреждения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 на основе разрабатываемых в учреждении формализованных показателей и критериев эффективности работы, измеряемых качественными и количественными показателями.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Разработка показателей и критериев эффективности работы осуществляется с учетом следующих принципов: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предсказуемость - работник должен знать, какое вознаграждение он получит в зависимости от результатов своего труда;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своевременность - вознаграждение должно следовать за достижением результата;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справедливость - правила определения вознаграждения должны быть понятны каждому работнику;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е) прозрачность - принятие решений о выплатах и их размерах с учетом мнения представительного органа работников.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2.4.7. Повышающий коэффициент к окладу за выслугу лет устанавливается всем работникам учреждения в зависимости от общего количества лет, проработанных в государственных органах и органах местного самоуправления (в том числе в государственных и муниципальных учреждениях), либо по профессии в следующих размерах: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выслуге лет от 1 года до 5 лет - до 0,10;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выслуге лет от 5 до 10 лет - до 0,15;</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выслуге лет от 10 до 15 лет - до 0,20;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выслуге лет от 15 до 25 лет - до 0,30;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выслуге лет свыше 25 лет - до 0,40.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2.4.8. Выплаты стимулирующего характера за интенсивность и высокие результаты работы осуществляются работникам за особый режим работы (связанный с обеспечением безаварийной и бесперебойной работы оборудования, оргтехники, автотранспорта, инженерных и хозяйственно-эксплуатационных систем учреждения и т.д.), исполнения возложенных обязанностей с учетом повышения авторитета и имиджа учреждения среди работников органов местного самоуправления.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2.4.9. Выплаты стимулирующего характера за качество выполняемых работ выплачиваются работникам по итогам выполнения важных и срочных работ за оперативность и качественный результат труда в пределах имеющихся средств.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2.4.10. Премиальные выплаты по итогам работы за  год осуществляются в пределах бюджетных ассигнований, предусмотренных учреждению на оплату труда работников, а также средств, полученных от приносящей доход деятельности, направленных учреждением на оплату труда работников, в соответствии с Положением о премировании, утверждаемым локальным нормативным актом учреждения.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Решение об осуществлении премиальных выплат по итогам работы работникам учреждения оформляется приказом руководителя учреждения.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премировании работников учитывается: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успешное и добросовестное исполнение работником своих должностных обязанностей в соответствующем периоде;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инициатива, творчество и применение в работе современных форм и методов организации труда;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качественная подготовка и проведение мероприятий, связанных с уставной деятельностью учреждения;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выполнение порученной работы, связанной с обеспечением рабочего процесса или уставной деятельности учреждения;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качественная подготовка и своевременная сдача отчетности;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участие работника в выполнении важных работ, мероприятий.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Конкретный размер премии может определяться как в процентах к окладу работника, так и в абсолютном размере. </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3. Условия выплаты материальной помощи</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 Из фонда оплаты труда работникам учреждений может быть оказана материальная помощь. Условия выплаты материальной помощи и ее конкретные размеры устанавливаются локальными нормативными актами учреждений.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3.2. В пределах лимитов бюджетных обязательств на оплату труда штатных работников Учреждения в целях повышения их социальной защищенности оказывается материальная помощь по решению руководителя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ухода в очередной отпуск - в размере до двух должностных окладов;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 связи с юбилейной датой работника (для женщин 50 лет, 55 лет; для мужчин 60 лет, 65 лет) - до одного должностного оклада;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смерти близких родственников, подтвержденной соответствующими документами, - до одного должностного оклада;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3.3. В случае смерти работника материальная помощь выплачивается членам его семьи.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 Решение об оказании материальной помощи и ее размере принимается руководителем учреждения на основании личного заявления работника, либо члена  семьи в случае  смерти  работника и подтверждающих документов (справок, счетов и др.).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Решение о выплате материальной помощи руководителю учреждения принимает глава муниципального  образования Бугурусланского района на основании личного заявления руководителя и подтверждающих документов.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9"/>
          <w:tab w:val="left" w:pos="6615" w:leader="none"/>
        </w:tabs>
        <w:ind w:firstLine="709"/>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jc w:val="both"/>
        <w:textAlignment w:val="baseline"/>
        <w:rPr>
          <w:sz w:val="28"/>
          <w:szCs w:val="28"/>
        </w:rPr>
      </w:pPr>
      <w:r>
        <w:rPr>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900"/>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pPr>
      <w:r>
        <w:rPr/>
      </w:r>
    </w:p>
    <w:sectPr>
      <w:type w:val="nextPage"/>
      <w:pgSz w:w="11906" w:h="16838"/>
      <w:pgMar w:left="1701" w:right="567" w:gutter="0" w:header="0" w:top="709" w:footer="0" w:bottom="1134"/>
      <w:pgNumType w:fmt="decimal"/>
      <w:formProt w:val="false"/>
      <w:textDirection w:val="lrTb"/>
      <w:docGrid w:type="default" w:linePitch="360" w:charSpace="1802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d38fd"/>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565a6e"/>
    <w:rPr>
      <w:color w:val="0000FF"/>
      <w:u w:val="single"/>
    </w:rPr>
  </w:style>
  <w:style w:type="character" w:styleId="Style14" w:customStyle="1">
    <w:name w:val="Текст выноски Знак"/>
    <w:basedOn w:val="DefaultParagraphFont"/>
    <w:uiPriority w:val="99"/>
    <w:semiHidden/>
    <w:qFormat/>
    <w:rsid w:val="00005129"/>
    <w:rPr>
      <w:rFonts w:ascii="Tahoma" w:hAnsi="Tahoma" w:eastAsia="Times New Roman" w:cs="Tahoma"/>
      <w:sz w:val="16"/>
      <w:szCs w:val="16"/>
      <w:lang w:eastAsia="ru-RU"/>
    </w:rPr>
  </w:style>
  <w:style w:type="paragraph" w:styleId="Style15" w:customStyle="1">
    <w:name w:val="Заголовок"/>
    <w:basedOn w:val="Normal"/>
    <w:next w:val="BodyText"/>
    <w:qFormat/>
    <w:pPr>
      <w:keepNext w:val="true"/>
      <w:spacing w:before="240" w:after="120"/>
    </w:pPr>
    <w:rPr>
      <w:rFonts w:ascii="Liberation Sans" w:hAnsi="Liberation Sans" w:eastAsia="Lucida Sans Unicode" w:cs="Nirmala U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customStyle="1">
    <w:name w:val="Указатель"/>
    <w:basedOn w:val="Normal"/>
    <w:qFormat/>
    <w:pPr>
      <w:suppressLineNumbers/>
    </w:pPr>
    <w:rPr>
      <w:rFonts w:cs="Nirmala UI"/>
    </w:rPr>
  </w:style>
  <w:style w:type="paragraph" w:styleId="Caption1">
    <w:name w:val="caption1"/>
    <w:basedOn w:val="Normal"/>
    <w:qFormat/>
    <w:pPr>
      <w:suppressLineNumbers/>
      <w:spacing w:before="120" w:after="120"/>
    </w:pPr>
    <w:rPr>
      <w:i/>
      <w:iCs/>
      <w:sz w:val="24"/>
      <w:szCs w:val="24"/>
    </w:rPr>
  </w:style>
  <w:style w:type="paragraph" w:styleId="Title">
    <w:name w:val="Title"/>
    <w:basedOn w:val="Normal"/>
    <w:qFormat/>
    <w:pPr>
      <w:keepNext w:val="true"/>
      <w:spacing w:before="240" w:after="120"/>
    </w:pPr>
    <w:rPr>
      <w:rFonts w:ascii="Liberation Sans" w:hAnsi="Liberation Sans" w:eastAsia="Microsoft YaHei"/>
      <w:sz w:val="28"/>
      <w:szCs w:val="28"/>
    </w:rPr>
  </w:style>
  <w:style w:type="paragraph" w:styleId="Indexheading">
    <w:name w:val="index heading"/>
    <w:basedOn w:val="Normal"/>
    <w:qFormat/>
    <w:pPr>
      <w:suppressLineNumbers/>
    </w:pPr>
    <w:rPr/>
  </w:style>
  <w:style w:type="paragraph" w:styleId="Style17" w:customStyle="1">
    <w:name w:val="Содержимое врезки"/>
    <w:basedOn w:val="Normal"/>
    <w:qFormat/>
    <w:pPr/>
    <w:rPr/>
  </w:style>
  <w:style w:type="paragraph" w:styleId="BlockQuotation" w:customStyle="1">
    <w:name w:val="Block Quotation"/>
    <w:basedOn w:val="Normal"/>
    <w:qFormat/>
    <w:rsid w:val="005b4eaa"/>
    <w:pPr>
      <w:suppressAutoHyphens w:val="false"/>
      <w:ind w:firstLine="851" w:left="567" w:right="-2"/>
      <w:jc w:val="both"/>
      <w:textAlignment w:val="baseline"/>
    </w:pPr>
    <w:rPr>
      <w:rFonts w:ascii="Times New Roman" w:hAnsi="Times New Roman" w:cs="Times New Roman"/>
      <w:sz w:val="28"/>
      <w:szCs w:val="28"/>
    </w:rPr>
  </w:style>
  <w:style w:type="paragraph" w:styleId="BalloonText">
    <w:name w:val="Balloon Text"/>
    <w:basedOn w:val="Normal"/>
    <w:uiPriority w:val="99"/>
    <w:semiHidden/>
    <w:unhideWhenUsed/>
    <w:qFormat/>
    <w:rsid w:val="00005129"/>
    <w:pPr/>
    <w:rPr>
      <w:rFonts w:ascii="Tahoma" w:hAnsi="Tahoma" w:cs="Tahoma"/>
      <w:sz w:val="16"/>
      <w:szCs w:val="16"/>
    </w:rPr>
  </w:style>
  <w:style w:type="paragraph" w:styleId="ListParagraph">
    <w:name w:val="List Paragraph"/>
    <w:basedOn w:val="Normal"/>
    <w:uiPriority w:val="34"/>
    <w:qFormat/>
    <w:rsid w:val="00bf3c27"/>
    <w:pPr>
      <w:spacing w:before="0" w:after="0"/>
      <w:ind w:hanging="0"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d">
    <w:name w:val="Table Grid"/>
    <w:basedOn w:val="a1"/>
    <w:rsid w:val="00cd38fd"/>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consultantplus://offline/ref=5A59B319B10740A3BC5CA560113E62815442EDDC8C45F5CA28ADACC29AF0A35F9A5EEDD2593E03F" TargetMode="External"/><Relationship Id="rId6" Type="http://schemas.openxmlformats.org/officeDocument/2006/relationships/hyperlink" Target="consultantplus://offline/ref=5A59B319B10740A3BC5CA560113E6281544EEFDA8544F5CA28ADACC29A3F00F" TargetMode="External"/><Relationship Id="rId7" Type="http://schemas.openxmlformats.org/officeDocument/2006/relationships/hyperlink" Target="consultantplus://offline/ref=5A59B319B10740A3BC5CA560113E62815D4EEEDC8148A8C020F4A0C09DFFFC489D17E1D450E0DD3407F" TargetMode="External"/><Relationship Id="rId8" Type="http://schemas.openxmlformats.org/officeDocument/2006/relationships/hyperlink" Target="consultantplus://offline/ref=5A59B319B10740A3BC5CA560113E62815243EADD8548A8C020F4A0C09DFFFC489D17E1D450E0DD3407F" TargetMode="External"/><Relationship Id="rId9" Type="http://schemas.openxmlformats.org/officeDocument/2006/relationships/hyperlink" Target="consultantplus://offline/ref=5A59B319B10740A3BC5CA560113E6281524BECD28C48A8C020F4A0C09DFFFC489D17E1D450E0DC340FF" TargetMode="External"/><Relationship Id="rId10" Type="http://schemas.openxmlformats.org/officeDocument/2006/relationships/hyperlink" Target="consultantplus://offline/ref=5A59B319B10740A3BC5CA560113E62815C48E6DA8248A8C020F4A0C0390DF" TargetMode="External"/><Relationship Id="rId11" Type="http://schemas.openxmlformats.org/officeDocument/2006/relationships/hyperlink" Target="consultantplus://offline/ref=5A59B319B10740A3BC5CA560113E62815C4DECDD8D48A8C020F4A0C0390DF" TargetMode="External"/><Relationship Id="rId12" Type="http://schemas.openxmlformats.org/officeDocument/2006/relationships/hyperlink" Target="consultantplus://offline/ref=5A59B319B10740A3BC5CA560113E62815442EDDC8C45F5CA28ADACC29A3F00F" TargetMode="External"/><Relationship Id="rId13" Type="http://schemas.openxmlformats.org/officeDocument/2006/relationships/hyperlink" Target="consultantplus://offline/ref=5A59B319B10740A3BC5CA560113E6281544CECD98246F5CA28ADACC29A3F00F" TargetMode="External"/><Relationship Id="rId14" Type="http://schemas.openxmlformats.org/officeDocument/2006/relationships/hyperlink" Target="consultantplus://offline/ref=5A59B319B10740A3BC5CA560113E62815442EDDC8C45F5CA28ADACC29AF0A35F9A5EEDD3513E05F" TargetMode="External"/><Relationship Id="rId15" Type="http://schemas.openxmlformats.org/officeDocument/2006/relationships/hyperlink" Target="consultantplus://offline/ref=5A59B319B10740A3BC5CA560113E62815442EDDC8C45F5CA28ADACC29AF0A35F9A5EEDD3513E02F"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54</TotalTime>
  <Application>LibreOffice/7.6.1.2$Windows_X86_64 LibreOffice_project/f5defcebd022c5bc36bbb79be232cb6926d8f674</Application>
  <AppVersion>15.0000</AppVersion>
  <Pages>13</Pages>
  <Words>3231</Words>
  <Characters>23754</Characters>
  <CharactersWithSpaces>27369</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2023-09-29T04:07:00Z</dcterms:created>
  <dc:creator>Специалист</dc:creator>
  <dc:description/>
  <dc:language>ru-RU</dc:language>
  <cp:lastModifiedBy>Тараскина_АВ</cp:lastModifiedBy>
  <cp:lastPrinted>2023-11-15T11:08:00Z</cp:lastPrinted>
  <dcterms:modified xsi:type="dcterms:W3CDTF">2023-11-21T04:41:00Z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